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360" w:lineRule="auto"/>
        <w:ind w:left="0" w:leftChars="0" w:firstLine="0" w:firstLineChars="0"/>
        <w:jc w:val="left"/>
        <w:rPr>
          <w:rFonts w:hint="default" w:ascii="Times New Roman" w:hAnsi="Times New Roman" w:eastAsia="宋体" w:cs="Arial"/>
          <w:b/>
          <w:kern w:val="0"/>
          <w:sz w:val="24"/>
          <w:lang w:val="en-US" w:eastAsia="zh-CN"/>
        </w:rPr>
      </w:pPr>
      <w:r>
        <w:rPr>
          <w:rFonts w:ascii="Times New Roman" w:hAnsi="Times New Roman" w:cs="Arial"/>
          <w:b/>
          <w:kern w:val="0"/>
          <w:sz w:val="24"/>
        </w:rPr>
        <w:t>证券代码：</w:t>
      </w:r>
      <w:r>
        <w:rPr>
          <w:rFonts w:hint="eastAsia" w:ascii="Times New Roman" w:hAnsi="Times New Roman" w:cs="Arial"/>
          <w:b/>
          <w:kern w:val="0"/>
          <w:sz w:val="24"/>
        </w:rPr>
        <w:t>000970</w:t>
      </w:r>
      <w:r>
        <w:rPr>
          <w:rFonts w:ascii="Times New Roman" w:hAnsi="Times New Roman" w:cs="Arial"/>
          <w:b/>
          <w:kern w:val="0"/>
          <w:sz w:val="24"/>
        </w:rPr>
        <w:t xml:space="preserve">    </w:t>
      </w:r>
      <w:r>
        <w:rPr>
          <w:rFonts w:hint="eastAsia" w:cs="Arial"/>
          <w:b/>
          <w:kern w:val="0"/>
          <w:sz w:val="24"/>
          <w:lang w:val="en-US" w:eastAsia="zh-CN"/>
        </w:rPr>
        <w:t xml:space="preserve"> </w:t>
      </w:r>
      <w:r>
        <w:rPr>
          <w:rFonts w:ascii="Times New Roman" w:hAnsi="Times New Roman" w:cs="Arial"/>
          <w:b/>
          <w:kern w:val="0"/>
          <w:sz w:val="24"/>
        </w:rPr>
        <w:t xml:space="preserve">  </w:t>
      </w:r>
      <w:r>
        <w:rPr>
          <w:rFonts w:hint="eastAsia" w:ascii="Times New Roman" w:hAnsi="Times New Roman" w:cs="Arial"/>
          <w:b/>
          <w:kern w:val="0"/>
          <w:sz w:val="24"/>
          <w:lang w:val="en-US" w:eastAsia="zh-CN"/>
        </w:rPr>
        <w:t xml:space="preserve">  </w:t>
      </w:r>
      <w:r>
        <w:rPr>
          <w:rFonts w:ascii="Times New Roman" w:hAnsi="Times New Roman" w:cs="Arial"/>
          <w:b/>
          <w:kern w:val="0"/>
          <w:sz w:val="24"/>
        </w:rPr>
        <w:t>证券简称：</w:t>
      </w:r>
      <w:r>
        <w:rPr>
          <w:rFonts w:hint="eastAsia" w:ascii="Times New Roman" w:hAnsi="Times New Roman" w:cs="Arial"/>
          <w:b/>
          <w:kern w:val="0"/>
          <w:sz w:val="24"/>
          <w:lang w:eastAsia="zh-CN"/>
        </w:rPr>
        <w:t>中科三环</w:t>
      </w:r>
      <w:r>
        <w:rPr>
          <w:rFonts w:ascii="Times New Roman" w:hAnsi="Times New Roman" w:cs="Arial"/>
          <w:b/>
          <w:kern w:val="0"/>
          <w:sz w:val="24"/>
        </w:rPr>
        <w:t xml:space="preserve">   </w:t>
      </w:r>
      <w:r>
        <w:rPr>
          <w:rFonts w:hint="eastAsia" w:ascii="Times New Roman" w:hAnsi="Times New Roman" w:cs="Arial"/>
          <w:b/>
          <w:kern w:val="0"/>
          <w:sz w:val="24"/>
          <w:lang w:val="en-US" w:eastAsia="zh-CN"/>
        </w:rPr>
        <w:t xml:space="preserve"> </w:t>
      </w:r>
      <w:r>
        <w:rPr>
          <w:rFonts w:hint="eastAsia" w:cs="Arial"/>
          <w:b/>
          <w:kern w:val="0"/>
          <w:sz w:val="24"/>
          <w:lang w:val="en-US" w:eastAsia="zh-CN"/>
        </w:rPr>
        <w:t xml:space="preserve"> </w:t>
      </w:r>
      <w:r>
        <w:rPr>
          <w:rFonts w:ascii="Times New Roman" w:hAnsi="Times New Roman" w:cs="Arial"/>
          <w:b/>
          <w:kern w:val="0"/>
          <w:sz w:val="24"/>
        </w:rPr>
        <w:t xml:space="preserve"> </w:t>
      </w:r>
      <w:r>
        <w:rPr>
          <w:rFonts w:hint="eastAsia" w:ascii="Times New Roman" w:hAnsi="Times New Roman" w:cs="Arial"/>
          <w:b/>
          <w:kern w:val="0"/>
          <w:sz w:val="24"/>
          <w:lang w:val="en-US" w:eastAsia="zh-CN"/>
        </w:rPr>
        <w:t xml:space="preserve"> </w:t>
      </w:r>
      <w:r>
        <w:rPr>
          <w:rFonts w:ascii="Times New Roman" w:hAnsi="Times New Roman" w:cs="Arial"/>
          <w:b/>
          <w:kern w:val="0"/>
          <w:sz w:val="24"/>
        </w:rPr>
        <w:t xml:space="preserve"> 公告编号：</w:t>
      </w:r>
      <w:r>
        <w:rPr>
          <w:rFonts w:hint="eastAsia" w:cs="Arial"/>
          <w:b/>
          <w:kern w:val="0"/>
          <w:sz w:val="24"/>
          <w:lang w:val="en-US" w:eastAsia="zh-CN"/>
        </w:rPr>
        <w:t>2022-009</w:t>
      </w:r>
    </w:p>
    <w:p>
      <w:pPr>
        <w:pStyle w:val="16"/>
        <w:keepNext w:val="0"/>
        <w:keepLines w:val="0"/>
        <w:pageBreakBefore w:val="0"/>
        <w:widowControl w:val="0"/>
        <w:kinsoku/>
        <w:wordWrap/>
        <w:overflowPunct/>
        <w:topLinePunct w:val="0"/>
        <w:autoSpaceDE w:val="0"/>
        <w:autoSpaceDN w:val="0"/>
        <w:bidi w:val="0"/>
        <w:adjustRightInd w:val="0"/>
        <w:snapToGrid/>
        <w:spacing w:before="430" w:beforeLines="150" w:line="360" w:lineRule="auto"/>
        <w:jc w:val="center"/>
        <w:textAlignment w:val="auto"/>
        <w:rPr>
          <w:rFonts w:hint="eastAsia" w:ascii="黑体" w:hAnsi="黑体" w:eastAsia="黑体" w:cs="黑体"/>
          <w:b/>
          <w:color w:val="FF0000"/>
          <w:sz w:val="32"/>
          <w:szCs w:val="32"/>
          <w:lang w:eastAsia="zh-CN"/>
        </w:rPr>
      </w:pPr>
      <w:r>
        <w:rPr>
          <w:rFonts w:hint="eastAsia" w:ascii="黑体" w:hAnsi="黑体" w:eastAsia="黑体" w:cs="黑体"/>
          <w:b/>
          <w:color w:val="FF0000"/>
          <w:sz w:val="32"/>
          <w:szCs w:val="32"/>
          <w:lang w:eastAsia="zh-CN"/>
        </w:rPr>
        <w:t>北京中科三环高技术股份有限公司</w:t>
      </w:r>
      <w:bookmarkStart w:id="5" w:name="_GoBack"/>
      <w:bookmarkEnd w:id="5"/>
    </w:p>
    <w:p>
      <w:pPr>
        <w:pStyle w:val="16"/>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黑体" w:hAnsi="黑体" w:eastAsia="黑体" w:cs="黑体"/>
          <w:b/>
          <w:color w:val="FF0000"/>
          <w:sz w:val="32"/>
          <w:szCs w:val="32"/>
          <w:lang w:eastAsia="zh-CN"/>
        </w:rPr>
      </w:pPr>
      <w:r>
        <w:rPr>
          <w:rFonts w:hint="eastAsia" w:ascii="黑体" w:hAnsi="黑体" w:eastAsia="黑体" w:cs="黑体"/>
          <w:b/>
          <w:color w:val="FF0000"/>
          <w:sz w:val="32"/>
          <w:szCs w:val="32"/>
          <w:lang w:eastAsia="zh-CN"/>
        </w:rPr>
        <w:t>配股</w:t>
      </w:r>
      <w:r>
        <w:rPr>
          <w:rFonts w:hint="eastAsia" w:ascii="黑体" w:hAnsi="黑体" w:eastAsia="黑体" w:cs="黑体"/>
          <w:b/>
          <w:color w:val="FF0000"/>
          <w:sz w:val="32"/>
          <w:szCs w:val="32"/>
          <w:lang w:val="en-US" w:eastAsia="zh-CN"/>
        </w:rPr>
        <w:t>发行结果</w:t>
      </w:r>
      <w:r>
        <w:rPr>
          <w:rFonts w:hint="eastAsia" w:ascii="黑体" w:hAnsi="黑体" w:eastAsia="黑体" w:cs="黑体"/>
          <w:b/>
          <w:color w:val="FF0000"/>
          <w:sz w:val="32"/>
          <w:szCs w:val="32"/>
          <w:lang w:eastAsia="zh-CN"/>
        </w:rPr>
        <w:t>公告</w:t>
      </w:r>
    </w:p>
    <w:p>
      <w:pPr>
        <w:keepNext w:val="0"/>
        <w:keepLines w:val="0"/>
        <w:pageBreakBefore w:val="0"/>
        <w:widowControl w:val="0"/>
        <w:kinsoku/>
        <w:wordWrap/>
        <w:overflowPunct/>
        <w:topLinePunct w:val="0"/>
        <w:autoSpaceDE w:val="0"/>
        <w:autoSpaceDN w:val="0"/>
        <w:bidi w:val="0"/>
        <w:adjustRightInd w:val="0"/>
        <w:snapToGrid/>
        <w:spacing w:before="287" w:beforeLines="100" w:after="287" w:afterLines="100" w:line="360" w:lineRule="auto"/>
        <w:ind w:firstLine="0" w:firstLineChars="0"/>
        <w:jc w:val="center"/>
        <w:textAlignment w:val="auto"/>
        <w:rPr>
          <w:rFonts w:hint="eastAsia" w:ascii="黑体" w:hAnsi="黑体" w:eastAsia="黑体" w:cs="黑体"/>
          <w:b/>
          <w:color w:val="FF0000"/>
          <w:kern w:val="0"/>
          <w:sz w:val="24"/>
          <w:szCs w:val="24"/>
          <w:lang w:eastAsia="zh-CN"/>
        </w:rPr>
      </w:pPr>
      <w:r>
        <w:rPr>
          <w:rFonts w:hint="eastAsia" w:ascii="黑体" w:hAnsi="黑体" w:eastAsia="黑体" w:cs="黑体"/>
          <w:b/>
          <w:color w:val="FF0000"/>
          <w:kern w:val="0"/>
          <w:sz w:val="24"/>
          <w:szCs w:val="24"/>
        </w:rPr>
        <w:t>保荐机构（主承销商）：</w:t>
      </w:r>
      <w:r>
        <w:rPr>
          <w:rFonts w:hint="eastAsia" w:ascii="黑体" w:hAnsi="黑体" w:eastAsia="黑体" w:cs="黑体"/>
          <w:b/>
          <w:color w:val="FF0000"/>
          <w:kern w:val="0"/>
          <w:sz w:val="24"/>
          <w:szCs w:val="24"/>
          <w:lang w:eastAsia="zh-CN"/>
        </w:rPr>
        <w:t>国金证券股份有限公司</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6" w:type="dxa"/>
          </w:tcPr>
          <w:p>
            <w:pPr>
              <w:pStyle w:val="16"/>
              <w:keepNext w:val="0"/>
              <w:keepLines w:val="0"/>
              <w:pageBreakBefore w:val="0"/>
              <w:widowControl w:val="0"/>
              <w:kinsoku/>
              <w:wordWrap/>
              <w:overflowPunct/>
              <w:topLinePunct w:val="0"/>
              <w:autoSpaceDE w:val="0"/>
              <w:autoSpaceDN w:val="0"/>
              <w:bidi w:val="0"/>
              <w:adjustRightInd w:val="0"/>
              <w:snapToGrid/>
              <w:spacing w:before="120" w:beforeLines="50" w:after="120" w:afterLines="50" w:line="360" w:lineRule="auto"/>
              <w:ind w:firstLine="482" w:firstLineChars="200"/>
              <w:jc w:val="both"/>
              <w:textAlignment w:val="auto"/>
              <w:rPr>
                <w:rFonts w:cs="Arial"/>
                <w:color w:val="auto"/>
              </w:rPr>
            </w:pPr>
            <w:bookmarkStart w:id="0" w:name="_Hlk28248536"/>
            <w:r>
              <w:rPr>
                <w:rFonts w:cs="Arial"/>
                <w:b/>
                <w:bCs/>
                <w:color w:val="auto"/>
              </w:rPr>
              <w:t>本公司</w:t>
            </w:r>
            <w:r>
              <w:rPr>
                <w:rFonts w:hint="eastAsia" w:cs="Arial"/>
                <w:b/>
                <w:bCs/>
                <w:color w:val="auto"/>
                <w:lang w:val="en-US" w:eastAsia="zh-CN"/>
              </w:rPr>
              <w:t>及其董事会全体成员</w:t>
            </w:r>
            <w:r>
              <w:rPr>
                <w:rFonts w:cs="Arial"/>
                <w:b/>
                <w:bCs/>
                <w:color w:val="auto"/>
              </w:rPr>
              <w:t>保证</w:t>
            </w:r>
            <w:r>
              <w:rPr>
                <w:rFonts w:hint="eastAsia" w:cs="Arial"/>
                <w:b/>
                <w:bCs/>
                <w:color w:val="auto"/>
                <w:lang w:val="en-US" w:eastAsia="zh-CN"/>
              </w:rPr>
              <w:t>信息披露内容的真实、准确和完整，没有</w:t>
            </w:r>
            <w:r>
              <w:rPr>
                <w:rFonts w:cs="Arial"/>
                <w:b/>
                <w:bCs/>
                <w:color w:val="auto"/>
              </w:rPr>
              <w:t>虚假记载、误导性陈述或者重大遗漏</w:t>
            </w:r>
            <w:r>
              <w:rPr>
                <w:rFonts w:hint="eastAsia" w:cs="Arial"/>
                <w:b/>
                <w:bCs/>
                <w:color w:val="auto"/>
                <w:lang w:eastAsia="zh-CN"/>
              </w:rPr>
              <w:t>。</w:t>
            </w:r>
          </w:p>
        </w:tc>
      </w:tr>
      <w:bookmarkEnd w:id="0"/>
    </w:tbl>
    <w:p>
      <w:pPr>
        <w:pStyle w:val="16"/>
        <w:keepNext w:val="0"/>
        <w:keepLines w:val="0"/>
        <w:pageBreakBefore w:val="0"/>
        <w:widowControl w:val="0"/>
        <w:kinsoku/>
        <w:wordWrap/>
        <w:overflowPunct/>
        <w:topLinePunct w:val="0"/>
        <w:autoSpaceDE w:val="0"/>
        <w:autoSpaceDN w:val="0"/>
        <w:bidi w:val="0"/>
        <w:adjustRightInd w:val="0"/>
        <w:snapToGrid/>
        <w:spacing w:before="287" w:beforeLines="100" w:after="144" w:afterLines="50" w:line="360" w:lineRule="auto"/>
        <w:jc w:val="center"/>
        <w:textAlignment w:val="auto"/>
        <w:rPr>
          <w:rFonts w:hint="eastAsia" w:ascii="黑体" w:hAnsi="黑体" w:eastAsia="黑体" w:cs="黑体"/>
          <w:b/>
          <w:color w:val="auto"/>
          <w:sz w:val="28"/>
        </w:rPr>
      </w:pPr>
      <w:r>
        <w:rPr>
          <w:rFonts w:hint="eastAsia" w:ascii="黑体" w:hAnsi="黑体" w:eastAsia="黑体" w:cs="黑体"/>
          <w:b/>
          <w:color w:val="auto"/>
          <w:sz w:val="28"/>
        </w:rPr>
        <w:t>重要提示</w:t>
      </w:r>
    </w:p>
    <w:p>
      <w:pPr>
        <w:bidi w:val="0"/>
        <w:spacing w:before="50" w:beforeLines="50" w:after="50" w:afterLines="50" w:line="360" w:lineRule="auto"/>
        <w:ind w:firstLine="482" w:firstLineChars="200"/>
        <w:rPr>
          <w:rFonts w:hint="eastAsia"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公司股票自</w:t>
      </w:r>
      <w:r>
        <w:rPr>
          <w:rFonts w:hint="eastAsia" w:cs="Times New Roman"/>
          <w:b/>
          <w:bCs/>
          <w:sz w:val="24"/>
          <w:szCs w:val="24"/>
          <w:lang w:val="en-US" w:eastAsia="zh-CN"/>
        </w:rPr>
        <w:t>2022</w:t>
      </w:r>
      <w:r>
        <w:rPr>
          <w:rFonts w:hint="eastAsia" w:ascii="Times New Roman" w:hAnsi="Times New Roman" w:eastAsia="宋体" w:cs="Times New Roman"/>
          <w:b/>
          <w:bCs/>
          <w:sz w:val="24"/>
          <w:szCs w:val="24"/>
          <w:lang w:val="en-US" w:eastAsia="zh-CN"/>
        </w:rPr>
        <w:t>年</w:t>
      </w:r>
      <w:r>
        <w:rPr>
          <w:rFonts w:hint="eastAsia" w:cs="Times New Roman"/>
          <w:b/>
          <w:bCs/>
          <w:sz w:val="24"/>
          <w:szCs w:val="24"/>
          <w:lang w:val="en-US" w:eastAsia="zh-CN"/>
        </w:rPr>
        <w:t>2</w:t>
      </w:r>
      <w:r>
        <w:rPr>
          <w:rFonts w:hint="eastAsia" w:ascii="Times New Roman" w:hAnsi="Times New Roman" w:eastAsia="宋体" w:cs="Times New Roman"/>
          <w:b/>
          <w:bCs/>
          <w:sz w:val="24"/>
          <w:szCs w:val="24"/>
          <w:lang w:val="en-US" w:eastAsia="zh-CN"/>
        </w:rPr>
        <w:t>月</w:t>
      </w:r>
      <w:r>
        <w:rPr>
          <w:rFonts w:hint="eastAsia" w:cs="Times New Roman"/>
          <w:b/>
          <w:bCs/>
          <w:sz w:val="24"/>
          <w:szCs w:val="24"/>
          <w:lang w:val="en-US" w:eastAsia="zh-CN"/>
        </w:rPr>
        <w:t>24</w:t>
      </w:r>
      <w:r>
        <w:rPr>
          <w:rFonts w:hint="eastAsia" w:ascii="Times New Roman" w:hAnsi="Times New Roman" w:eastAsia="宋体" w:cs="Times New Roman"/>
          <w:b/>
          <w:bCs/>
          <w:sz w:val="24"/>
          <w:szCs w:val="24"/>
          <w:lang w:val="en-US" w:eastAsia="zh-CN"/>
        </w:rPr>
        <w:t>日</w:t>
      </w:r>
      <w:r>
        <w:rPr>
          <w:rFonts w:hint="eastAsia" w:ascii="Times New Roman" w:hAnsi="Times New Roman" w:eastAsia="宋体" w:cs="Times New Roman"/>
          <w:b/>
          <w:bCs/>
          <w:sz w:val="24"/>
          <w:szCs w:val="24"/>
          <w:lang w:eastAsia="zh-CN"/>
        </w:rPr>
        <w:t>开市起复牌。</w:t>
      </w:r>
    </w:p>
    <w:p>
      <w:pPr>
        <w:bidi w:val="0"/>
        <w:spacing w:before="50" w:beforeLines="50" w:after="50" w:afterLines="50"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经中国证券监督管理委员会证监许可〔202</w:t>
      </w:r>
      <w:r>
        <w:rPr>
          <w:rFonts w:hint="eastAsia" w:cs="Times New Roman"/>
          <w:sz w:val="24"/>
          <w:szCs w:val="24"/>
          <w:lang w:val="en-US" w:eastAsia="zh-CN"/>
        </w:rPr>
        <w:t>1〕3203</w:t>
      </w:r>
      <w:r>
        <w:rPr>
          <w:rFonts w:hint="eastAsia" w:ascii="Times New Roman" w:hAnsi="Times New Roman" w:eastAsia="宋体" w:cs="Times New Roman"/>
          <w:sz w:val="24"/>
          <w:szCs w:val="24"/>
          <w:lang w:eastAsia="zh-CN"/>
        </w:rPr>
        <w:t>号文核准，北京中科三环高技术股份有限公司（以下简称“发行人”、“中科三环”或“公司”）向截至股权登记日</w:t>
      </w:r>
      <w:r>
        <w:rPr>
          <w:rFonts w:hint="eastAsia" w:cs="Times New Roman"/>
          <w:sz w:val="24"/>
          <w:szCs w:val="24"/>
          <w:lang w:val="en-US" w:eastAsia="zh-CN"/>
        </w:rPr>
        <w:t>2022</w:t>
      </w:r>
      <w:r>
        <w:rPr>
          <w:rFonts w:hint="eastAsia" w:ascii="Times New Roman" w:hAnsi="Times New Roman" w:eastAsia="宋体" w:cs="Times New Roman"/>
          <w:sz w:val="24"/>
          <w:szCs w:val="24"/>
          <w:lang w:eastAsia="zh-CN"/>
        </w:rPr>
        <w:t>年</w:t>
      </w:r>
      <w:r>
        <w:rPr>
          <w:rFonts w:hint="eastAsia" w:cs="Times New Roman"/>
          <w:sz w:val="24"/>
          <w:szCs w:val="24"/>
          <w:lang w:val="en-US" w:eastAsia="zh-CN"/>
        </w:rPr>
        <w:t>2</w:t>
      </w:r>
      <w:r>
        <w:rPr>
          <w:rFonts w:hint="eastAsia" w:ascii="Times New Roman" w:hAnsi="Times New Roman" w:eastAsia="宋体" w:cs="Times New Roman"/>
          <w:sz w:val="24"/>
          <w:szCs w:val="24"/>
          <w:lang w:eastAsia="zh-CN"/>
        </w:rPr>
        <w:t>月</w:t>
      </w:r>
      <w:r>
        <w:rPr>
          <w:rFonts w:hint="eastAsia" w:cs="Times New Roman"/>
          <w:sz w:val="24"/>
          <w:szCs w:val="24"/>
          <w:lang w:val="en-US" w:eastAsia="zh-CN"/>
        </w:rPr>
        <w:t>15</w:t>
      </w:r>
      <w:r>
        <w:rPr>
          <w:rFonts w:hint="eastAsia" w:ascii="Times New Roman" w:hAnsi="Times New Roman" w:eastAsia="宋体" w:cs="Times New Roman"/>
          <w:sz w:val="24"/>
          <w:szCs w:val="24"/>
          <w:lang w:eastAsia="zh-CN"/>
        </w:rPr>
        <w:t>日（R日）深圳证券交易所收市后，在中国证券登记结算有限责任公司深圳分公司登记在册的中科三环全体股东，按照每10股配</w:t>
      </w:r>
      <w:r>
        <w:rPr>
          <w:rFonts w:hint="eastAsia" w:cs="Times New Roman"/>
          <w:sz w:val="24"/>
          <w:szCs w:val="24"/>
          <w:lang w:val="en-US" w:eastAsia="zh-CN"/>
        </w:rPr>
        <w:t>1.5</w:t>
      </w:r>
      <w:r>
        <w:rPr>
          <w:rFonts w:hint="eastAsia" w:ascii="Times New Roman" w:hAnsi="Times New Roman" w:eastAsia="宋体" w:cs="Times New Roman"/>
          <w:sz w:val="24"/>
          <w:szCs w:val="24"/>
          <w:lang w:eastAsia="zh-CN"/>
        </w:rPr>
        <w:t>股的比例配售。本次配股网上认购缴款工作已于</w:t>
      </w:r>
      <w:r>
        <w:rPr>
          <w:rFonts w:hint="eastAsia" w:cs="Times New Roman"/>
          <w:sz w:val="24"/>
          <w:szCs w:val="24"/>
          <w:lang w:val="en-US" w:eastAsia="zh-CN"/>
        </w:rPr>
        <w:t>2022</w:t>
      </w:r>
      <w:r>
        <w:rPr>
          <w:rFonts w:hint="eastAsia" w:ascii="Times New Roman" w:hAnsi="Times New Roman" w:eastAsia="宋体" w:cs="Times New Roman"/>
          <w:sz w:val="24"/>
          <w:szCs w:val="24"/>
          <w:lang w:eastAsia="zh-CN"/>
        </w:rPr>
        <w:t>年</w:t>
      </w:r>
      <w:r>
        <w:rPr>
          <w:rFonts w:hint="eastAsia" w:cs="Times New Roman"/>
          <w:sz w:val="24"/>
          <w:szCs w:val="24"/>
          <w:lang w:val="en-US" w:eastAsia="zh-CN"/>
        </w:rPr>
        <w:t>2</w:t>
      </w:r>
      <w:r>
        <w:rPr>
          <w:rFonts w:hint="eastAsia" w:ascii="Times New Roman" w:hAnsi="Times New Roman" w:eastAsia="宋体" w:cs="Times New Roman"/>
          <w:sz w:val="24"/>
          <w:szCs w:val="24"/>
          <w:lang w:eastAsia="zh-CN"/>
        </w:rPr>
        <w:t>月</w:t>
      </w:r>
      <w:r>
        <w:rPr>
          <w:rFonts w:hint="eastAsia" w:cs="Times New Roman"/>
          <w:sz w:val="24"/>
          <w:szCs w:val="24"/>
          <w:lang w:val="en-US" w:eastAsia="zh-CN"/>
        </w:rPr>
        <w:t>22</w:t>
      </w:r>
      <w:r>
        <w:rPr>
          <w:rFonts w:hint="eastAsia" w:ascii="Times New Roman" w:hAnsi="Times New Roman" w:eastAsia="宋体" w:cs="Times New Roman"/>
          <w:sz w:val="24"/>
          <w:szCs w:val="24"/>
          <w:lang w:eastAsia="zh-CN"/>
        </w:rPr>
        <w:t>日（R+5日）结束。现将发行结果公告如下：</w:t>
      </w:r>
    </w:p>
    <w:p>
      <w:pPr>
        <w:bidi w:val="0"/>
        <w:spacing w:before="50" w:beforeLines="50" w:after="50" w:afterLines="50" w:line="360" w:lineRule="auto"/>
        <w:ind w:firstLine="0" w:firstLineChars="0"/>
        <w:rPr>
          <w:rFonts w:hint="eastAsia" w:ascii="Times New Roman" w:hAnsi="Times New Roman" w:eastAsia="黑体" w:cs="Times New Roman"/>
          <w:b/>
          <w:bCs/>
          <w:kern w:val="44"/>
          <w:sz w:val="28"/>
          <w:szCs w:val="44"/>
          <w:lang w:val="en-US" w:eastAsia="zh-CN" w:bidi="ar-SA"/>
        </w:rPr>
      </w:pPr>
      <w:r>
        <w:rPr>
          <w:rFonts w:hint="eastAsia" w:ascii="Times New Roman" w:hAnsi="Times New Roman" w:eastAsia="黑体" w:cs="Times New Roman"/>
          <w:b/>
          <w:bCs/>
          <w:kern w:val="44"/>
          <w:sz w:val="28"/>
          <w:szCs w:val="44"/>
          <w:lang w:val="en-US" w:eastAsia="zh-CN" w:bidi="ar-SA"/>
        </w:rPr>
        <w:t>一、</w:t>
      </w:r>
      <w:r>
        <w:rPr>
          <w:rFonts w:hint="eastAsia" w:eastAsia="黑体" w:cs="Times New Roman"/>
          <w:b/>
          <w:bCs/>
          <w:kern w:val="44"/>
          <w:sz w:val="28"/>
          <w:szCs w:val="44"/>
          <w:lang w:val="en-US" w:eastAsia="zh-CN" w:bidi="ar-SA"/>
        </w:rPr>
        <w:t>认购</w:t>
      </w:r>
      <w:r>
        <w:rPr>
          <w:rFonts w:hint="eastAsia" w:ascii="Times New Roman" w:hAnsi="Times New Roman" w:eastAsia="黑体" w:cs="Times New Roman"/>
          <w:b/>
          <w:bCs/>
          <w:kern w:val="44"/>
          <w:sz w:val="28"/>
          <w:szCs w:val="44"/>
          <w:lang w:val="en-US" w:eastAsia="zh-CN" w:bidi="ar-SA"/>
        </w:rPr>
        <w:t>情况</w:t>
      </w:r>
    </w:p>
    <w:p>
      <w:pPr>
        <w:bidi w:val="0"/>
        <w:spacing w:before="50" w:beforeLines="50" w:after="50" w:afterLines="50" w:line="360" w:lineRule="auto"/>
        <w:ind w:firstLine="480" w:firstLineChars="200"/>
        <w:rPr>
          <w:rFonts w:hint="eastAsia"/>
          <w:b w:val="0"/>
          <w:bCs w:val="0"/>
          <w:lang w:eastAsia="zh-CN"/>
        </w:rPr>
      </w:pPr>
      <w:r>
        <w:rPr>
          <w:rFonts w:hint="eastAsia"/>
          <w:b w:val="0"/>
          <w:bCs w:val="0"/>
          <w:lang w:eastAsia="zh-CN"/>
        </w:rPr>
        <w:t>本次配股以股权登记日</w:t>
      </w:r>
      <w:r>
        <w:rPr>
          <w:rFonts w:hint="eastAsia" w:cs="Times New Roman"/>
          <w:sz w:val="24"/>
          <w:szCs w:val="24"/>
          <w:lang w:val="en-US" w:eastAsia="zh-CN"/>
        </w:rPr>
        <w:t>2022</w:t>
      </w:r>
      <w:r>
        <w:rPr>
          <w:rFonts w:hint="eastAsia" w:ascii="Times New Roman" w:hAnsi="Times New Roman" w:eastAsia="宋体" w:cs="Times New Roman"/>
          <w:sz w:val="24"/>
          <w:szCs w:val="24"/>
          <w:lang w:eastAsia="zh-CN"/>
        </w:rPr>
        <w:t>年</w:t>
      </w:r>
      <w:r>
        <w:rPr>
          <w:rFonts w:hint="eastAsia" w:cs="Times New Roman"/>
          <w:sz w:val="24"/>
          <w:szCs w:val="24"/>
          <w:lang w:val="en-US" w:eastAsia="zh-CN"/>
        </w:rPr>
        <w:t>2</w:t>
      </w:r>
      <w:r>
        <w:rPr>
          <w:rFonts w:hint="eastAsia" w:ascii="Times New Roman" w:hAnsi="Times New Roman" w:eastAsia="宋体" w:cs="Times New Roman"/>
          <w:sz w:val="24"/>
          <w:szCs w:val="24"/>
          <w:lang w:eastAsia="zh-CN"/>
        </w:rPr>
        <w:t>月</w:t>
      </w:r>
      <w:r>
        <w:rPr>
          <w:rFonts w:hint="eastAsia" w:cs="Times New Roman"/>
          <w:sz w:val="24"/>
          <w:szCs w:val="24"/>
          <w:lang w:val="en-US" w:eastAsia="zh-CN"/>
        </w:rPr>
        <w:t>15</w:t>
      </w:r>
      <w:r>
        <w:rPr>
          <w:rFonts w:hint="eastAsia" w:ascii="Times New Roman" w:hAnsi="Times New Roman" w:eastAsia="宋体" w:cs="Times New Roman"/>
          <w:sz w:val="24"/>
          <w:szCs w:val="24"/>
          <w:lang w:eastAsia="zh-CN"/>
        </w:rPr>
        <w:t>日</w:t>
      </w:r>
      <w:r>
        <w:rPr>
          <w:rFonts w:hint="eastAsia"/>
          <w:b w:val="0"/>
          <w:bCs w:val="0"/>
          <w:lang w:eastAsia="zh-CN"/>
        </w:rPr>
        <w:t>（R日）深圳证券交易所收市后公司总股本</w:t>
      </w:r>
      <w:r>
        <w:rPr>
          <w:rFonts w:hint="eastAsia"/>
          <w:lang w:val="en-US" w:eastAsia="zh-CN"/>
        </w:rPr>
        <w:t>1,065,200,000</w:t>
      </w:r>
      <w:r>
        <w:rPr>
          <w:rFonts w:hint="eastAsia"/>
          <w:b w:val="0"/>
          <w:bCs w:val="0"/>
          <w:lang w:eastAsia="zh-CN"/>
        </w:rPr>
        <w:t>股为基数，按照每10股配</w:t>
      </w:r>
      <w:r>
        <w:rPr>
          <w:rFonts w:hint="eastAsia"/>
          <w:b w:val="0"/>
          <w:bCs w:val="0"/>
          <w:lang w:val="en-US" w:eastAsia="zh-CN"/>
        </w:rPr>
        <w:t>1.5</w:t>
      </w:r>
      <w:r>
        <w:rPr>
          <w:rFonts w:hint="eastAsia"/>
          <w:b w:val="0"/>
          <w:bCs w:val="0"/>
          <w:lang w:eastAsia="zh-CN"/>
        </w:rPr>
        <w:t>股的比例</w:t>
      </w:r>
      <w:r>
        <w:rPr>
          <w:rFonts w:hint="eastAsia"/>
          <w:b w:val="0"/>
          <w:bCs w:val="0"/>
          <w:lang w:val="en-US" w:eastAsia="zh-CN"/>
        </w:rPr>
        <w:t>向全体股东</w:t>
      </w:r>
      <w:r>
        <w:rPr>
          <w:rFonts w:hint="eastAsia"/>
          <w:b w:val="0"/>
          <w:bCs w:val="0"/>
          <w:lang w:eastAsia="zh-CN"/>
        </w:rPr>
        <w:t>配售，共计可配售股份总数为</w:t>
      </w:r>
      <w:r>
        <w:rPr>
          <w:rFonts w:hint="eastAsia"/>
          <w:lang w:val="en-US" w:eastAsia="zh-CN"/>
        </w:rPr>
        <w:t>159,780,000</w:t>
      </w:r>
      <w:r>
        <w:rPr>
          <w:rFonts w:hint="eastAsia"/>
          <w:b w:val="0"/>
          <w:bCs w:val="0"/>
          <w:lang w:eastAsia="zh-CN"/>
        </w:rPr>
        <w:t>股，发行价格为</w:t>
      </w:r>
      <w:r>
        <w:rPr>
          <w:rFonts w:hint="eastAsia"/>
          <w:b w:val="0"/>
          <w:bCs w:val="0"/>
          <w:lang w:val="en-US" w:eastAsia="zh-CN"/>
        </w:rPr>
        <w:t>4.50</w:t>
      </w:r>
      <w:r>
        <w:rPr>
          <w:rFonts w:hint="eastAsia"/>
          <w:b w:val="0"/>
          <w:bCs w:val="0"/>
          <w:lang w:eastAsia="zh-CN"/>
        </w:rPr>
        <w:t xml:space="preserve">元/股。 </w:t>
      </w:r>
    </w:p>
    <w:p>
      <w:pPr>
        <w:bidi w:val="0"/>
        <w:spacing w:before="50" w:beforeLines="50" w:after="50" w:afterLines="50" w:line="360" w:lineRule="auto"/>
        <w:ind w:firstLine="480" w:firstLineChars="200"/>
        <w:rPr>
          <w:rFonts w:hint="eastAsia"/>
          <w:b w:val="0"/>
          <w:bCs w:val="0"/>
          <w:lang w:eastAsia="zh-CN"/>
        </w:rPr>
      </w:pPr>
      <w:r>
        <w:rPr>
          <w:rFonts w:hint="eastAsia"/>
          <w:b w:val="0"/>
          <w:bCs w:val="0"/>
          <w:lang w:eastAsia="zh-CN"/>
        </w:rPr>
        <w:t>经深圳证券交易所交易系统主机统计，并经中国证券登记结算有限责任公司 深圳分公司提供的网上认购数据验证，本次配股公开发行认购情况如下：</w:t>
      </w:r>
    </w:p>
    <w:tbl>
      <w:tblPr>
        <w:tblStyle w:val="10"/>
        <w:tblW w:w="4999"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828"/>
        <w:gridCol w:w="369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b/>
                <w:bCs/>
                <w:kern w:val="2"/>
                <w:sz w:val="21"/>
                <w:szCs w:val="21"/>
                <w:lang w:val="en-US" w:eastAsia="zh-CN" w:bidi="ar-SA"/>
              </w:rPr>
            </w:pPr>
            <w:r>
              <w:rPr>
                <w:rFonts w:hint="eastAsia" w:cs="Times New Roman"/>
                <w:b/>
                <w:bCs/>
                <w:sz w:val="21"/>
                <w:szCs w:val="21"/>
                <w:lang w:val="en-US" w:eastAsia="zh-CN"/>
              </w:rPr>
              <w:t>项目</w:t>
            </w:r>
          </w:p>
        </w:tc>
        <w:tc>
          <w:tcPr>
            <w:tcW w:w="2168"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b w:val="0"/>
                <w:bCs w:val="0"/>
                <w:vertAlign w:val="baseline"/>
                <w:lang w:eastAsia="zh-CN"/>
              </w:rPr>
            </w:pPr>
            <w:r>
              <w:rPr>
                <w:rFonts w:hint="eastAsia" w:cs="Times New Roman"/>
                <w:b/>
                <w:bCs/>
                <w:sz w:val="21"/>
                <w:szCs w:val="21"/>
                <w:lang w:val="en-US" w:eastAsia="zh-CN"/>
              </w:rPr>
              <w:t>数量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有效认购股数（股）</w:t>
            </w:r>
          </w:p>
        </w:tc>
        <w:tc>
          <w:tcPr>
            <w:tcW w:w="21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150,525,773.00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有效认购资金总额（元）</w:t>
            </w:r>
          </w:p>
        </w:tc>
        <w:tc>
          <w:tcPr>
            <w:tcW w:w="21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677,365,978.50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3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占可配售股份总数比例</w:t>
            </w:r>
          </w:p>
        </w:tc>
        <w:tc>
          <w:tcPr>
            <w:tcW w:w="21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rPr>
                <w:rFonts w:hint="default"/>
                <w:b w:val="0"/>
                <w:bCs w:val="0"/>
                <w:sz w:val="21"/>
                <w:szCs w:val="21"/>
                <w:vertAlign w:val="baseline"/>
                <w:lang w:val="en-US" w:eastAsia="zh-CN"/>
              </w:rPr>
            </w:pPr>
            <w:r>
              <w:rPr>
                <w:rFonts w:hint="eastAsia"/>
                <w:b w:val="0"/>
                <w:bCs w:val="0"/>
                <w:sz w:val="21"/>
                <w:szCs w:val="21"/>
                <w:vertAlign w:val="baseline"/>
                <w:lang w:val="en-US" w:eastAsia="zh-CN"/>
              </w:rPr>
              <w:t>94.21%</w:t>
            </w:r>
          </w:p>
        </w:tc>
      </w:tr>
    </w:tbl>
    <w:p>
      <w:pPr>
        <w:pStyle w:val="3"/>
        <w:bidi w:val="0"/>
        <w:ind w:left="0" w:leftChars="0" w:firstLine="0" w:firstLineChars="0"/>
        <w:rPr>
          <w:rFonts w:hint="default"/>
          <w:b w:val="0"/>
          <w:bCs w:val="0"/>
          <w:lang w:val="en-US" w:eastAsia="zh-CN"/>
        </w:rPr>
      </w:pPr>
      <w:r>
        <w:rPr>
          <w:rFonts w:hint="eastAsia" w:eastAsia="黑体" w:cs="Times New Roman"/>
          <w:b/>
          <w:bCs/>
          <w:kern w:val="44"/>
          <w:sz w:val="28"/>
          <w:szCs w:val="44"/>
          <w:lang w:val="en-US" w:eastAsia="zh-CN" w:bidi="ar-SA"/>
        </w:rPr>
        <w:t>二</w:t>
      </w:r>
      <w:r>
        <w:rPr>
          <w:rFonts w:hint="eastAsia" w:ascii="Times New Roman" w:hAnsi="Times New Roman" w:eastAsia="黑体" w:cs="Times New Roman"/>
          <w:b/>
          <w:bCs/>
          <w:kern w:val="44"/>
          <w:sz w:val="28"/>
          <w:szCs w:val="44"/>
          <w:lang w:val="en-US" w:eastAsia="zh-CN" w:bidi="ar-SA"/>
        </w:rPr>
        <w:t>、</w:t>
      </w:r>
      <w:r>
        <w:rPr>
          <w:rFonts w:hint="eastAsia" w:eastAsia="黑体" w:cs="Times New Roman"/>
          <w:b/>
          <w:bCs/>
          <w:kern w:val="44"/>
          <w:sz w:val="28"/>
          <w:szCs w:val="44"/>
          <w:lang w:val="en-US" w:eastAsia="zh-CN" w:bidi="ar-SA"/>
        </w:rPr>
        <w:t>发行结果</w:t>
      </w:r>
    </w:p>
    <w:p>
      <w:pPr>
        <w:pStyle w:val="3"/>
        <w:bidi w:val="0"/>
        <w:rPr>
          <w:rFonts w:hint="eastAsia"/>
          <w:b w:val="0"/>
          <w:bCs w:val="0"/>
          <w:lang w:eastAsia="zh-CN"/>
        </w:rPr>
      </w:pPr>
      <w:r>
        <w:rPr>
          <w:rFonts w:hint="eastAsia"/>
          <w:b w:val="0"/>
          <w:bCs w:val="0"/>
          <w:lang w:eastAsia="zh-CN"/>
        </w:rPr>
        <w:t>根据本次配股发行公告，本次中科三环配股共计可配售股份总数为159,780,000股。本次配股对无限售条件股东全部采取网上定价发行方式，由</w:t>
      </w:r>
      <w:r>
        <w:rPr>
          <w:rFonts w:hint="eastAsia"/>
          <w:b w:val="0"/>
          <w:bCs w:val="0"/>
          <w:lang w:val="en-US" w:eastAsia="zh-CN"/>
        </w:rPr>
        <w:t>国金</w:t>
      </w:r>
      <w:r>
        <w:rPr>
          <w:rFonts w:hint="eastAsia"/>
          <w:b w:val="0"/>
          <w:bCs w:val="0"/>
          <w:lang w:eastAsia="zh-CN"/>
        </w:rPr>
        <w:t>证券股份有限公司作为保荐机构（主承销商）负责组织实施，通过深圳证券交易所交易系统进行。</w:t>
      </w:r>
    </w:p>
    <w:p>
      <w:pPr>
        <w:rPr>
          <w:rFonts w:hint="default" w:ascii="Times New Roman" w:hAnsi="Times New Roman" w:eastAsia="宋体" w:cs="Times New Roman"/>
          <w:color w:val="000000"/>
          <w:sz w:val="24"/>
          <w:szCs w:val="24"/>
        </w:rPr>
      </w:pPr>
      <w:r>
        <w:rPr>
          <w:rFonts w:hint="eastAsia"/>
          <w:lang w:eastAsia="zh-CN"/>
        </w:rPr>
        <w:t>本次</w:t>
      </w:r>
      <w:r>
        <w:rPr>
          <w:rFonts w:hint="eastAsia"/>
          <w:b w:val="0"/>
          <w:bCs w:val="0"/>
          <w:lang w:eastAsia="zh-CN"/>
        </w:rPr>
        <w:t>中科三环</w:t>
      </w:r>
      <w:r>
        <w:rPr>
          <w:rFonts w:hint="eastAsia"/>
          <w:lang w:eastAsia="zh-CN"/>
        </w:rPr>
        <w:t>原股东按照每股人民币</w:t>
      </w:r>
      <w:r>
        <w:rPr>
          <w:rFonts w:hint="eastAsia"/>
          <w:lang w:val="en-US" w:eastAsia="zh-CN"/>
        </w:rPr>
        <w:t>4.50</w:t>
      </w:r>
      <w:r>
        <w:rPr>
          <w:rFonts w:hint="eastAsia"/>
          <w:lang w:eastAsia="zh-CN"/>
        </w:rPr>
        <w:t>元的价格，以每10股配售</w:t>
      </w:r>
      <w:r>
        <w:rPr>
          <w:rFonts w:hint="eastAsia"/>
          <w:lang w:val="en-US" w:eastAsia="zh-CN"/>
        </w:rPr>
        <w:t>1.5</w:t>
      </w:r>
      <w:r>
        <w:rPr>
          <w:rFonts w:hint="eastAsia"/>
          <w:lang w:eastAsia="zh-CN"/>
        </w:rPr>
        <w:t>股的比例参与</w:t>
      </w:r>
      <w:r>
        <w:rPr>
          <w:rFonts w:hint="eastAsia"/>
          <w:lang w:val="en-US" w:eastAsia="zh-CN"/>
        </w:rPr>
        <w:t>本次</w:t>
      </w:r>
      <w:r>
        <w:rPr>
          <w:rFonts w:hint="eastAsia"/>
          <w:lang w:eastAsia="zh-CN"/>
        </w:rPr>
        <w:t>配售。</w:t>
      </w:r>
      <w:r>
        <w:rPr>
          <w:rFonts w:hint="eastAsia" w:cs="Times New Roman"/>
          <w:sz w:val="24"/>
          <w:szCs w:val="24"/>
          <w:lang w:val="en-US" w:eastAsia="zh-CN"/>
        </w:rPr>
        <w:t>发行人</w:t>
      </w:r>
      <w:r>
        <w:rPr>
          <w:rFonts w:hint="default" w:ascii="Times New Roman" w:hAnsi="Times New Roman" w:cs="Times New Roman"/>
          <w:sz w:val="24"/>
          <w:szCs w:val="24"/>
        </w:rPr>
        <w:t>为内地与香港股市互联互通标的公司，需通过内地与香港股票市场交易互联互通机制安排向香港投资者配股。内地与香港对于零碎股份的处理方式可能存在差异，特提请投资者注意。配售股份不足1股的，</w:t>
      </w:r>
      <w:r>
        <w:rPr>
          <w:rFonts w:hint="eastAsia" w:cs="Times New Roman"/>
          <w:sz w:val="24"/>
          <w:szCs w:val="24"/>
          <w:lang w:val="en-US" w:eastAsia="zh-CN"/>
        </w:rPr>
        <w:t>按照</w:t>
      </w:r>
      <w:r>
        <w:rPr>
          <w:rFonts w:hint="eastAsia" w:ascii="Times New Roman" w:hAnsi="Times New Roman" w:eastAsia="宋体" w:cs="Times New Roman"/>
          <w:sz w:val="24"/>
          <w:szCs w:val="24"/>
        </w:rPr>
        <w:t>《</w:t>
      </w:r>
      <w:r>
        <w:rPr>
          <w:rFonts w:hint="eastAsia" w:cs="Times New Roman"/>
          <w:sz w:val="24"/>
          <w:szCs w:val="24"/>
          <w:lang w:val="en-US" w:eastAsia="zh-CN"/>
        </w:rPr>
        <w:t>中国证券登记结算有限责任公司深圳分公司证券发行人业务指南</w:t>
      </w:r>
      <w:r>
        <w:rPr>
          <w:rFonts w:hint="eastAsia"/>
          <w:lang w:eastAsia="zh-CN"/>
        </w:rPr>
        <w:t>（</w:t>
      </w:r>
      <w:r>
        <w:rPr>
          <w:rFonts w:hint="eastAsia"/>
          <w:lang w:val="en-US" w:eastAsia="zh-CN"/>
        </w:rPr>
        <w:t>2021年5月修订版</w:t>
      </w:r>
      <w:r>
        <w:rPr>
          <w:rFonts w:hint="eastAsia"/>
          <w:lang w:eastAsia="zh-CN"/>
        </w:rPr>
        <w:t>）</w:t>
      </w:r>
      <w:r>
        <w:rPr>
          <w:rFonts w:hint="eastAsia" w:ascii="Times New Roman" w:hAnsi="Times New Roman" w:eastAsia="宋体" w:cs="Times New Roman"/>
          <w:sz w:val="24"/>
          <w:szCs w:val="24"/>
        </w:rPr>
        <w:t>》</w:t>
      </w:r>
      <w:r>
        <w:rPr>
          <w:rFonts w:hint="default" w:ascii="Times New Roman" w:hAnsi="Times New Roman" w:cs="Times New Roman"/>
          <w:sz w:val="24"/>
          <w:szCs w:val="24"/>
        </w:rPr>
        <w:t>的有关规定处理，配股过程中产生不足1份的零碎配股权证，按数量大小排序，数量小的循环进位给数量大的股东，以达到最小记账单位1份</w:t>
      </w:r>
      <w:r>
        <w:rPr>
          <w:rFonts w:hint="default" w:ascii="Times New Roman" w:hAnsi="Times New Roman" w:eastAsia="宋体" w:cs="Times New Roman"/>
          <w:color w:val="000000"/>
          <w:sz w:val="24"/>
          <w:szCs w:val="24"/>
        </w:rPr>
        <w:t>；香港投资者通过内地与香港互联互通持有发行人股份并参与本次配股的，对配售股份不足1股的部分，香港交易及结算所有限公司将根据中央结算系统有关规则的规定将该等零碎股份的数额调整至整数单位。</w:t>
      </w:r>
    </w:p>
    <w:p>
      <w:pPr>
        <w:rPr>
          <w:rFonts w:hint="eastAsia" w:ascii="Times New Roman" w:hAnsi="Times New Roman" w:eastAsia="宋体" w:cs="Times New Roman"/>
          <w:color w:val="000000"/>
          <w:sz w:val="24"/>
          <w:szCs w:val="24"/>
          <w:lang w:eastAsia="zh-CN"/>
        </w:rPr>
      </w:pPr>
      <w:r>
        <w:rPr>
          <w:rFonts w:hint="eastAsia" w:ascii="Times New Roman" w:hAnsi="Times New Roman" w:eastAsia="宋体" w:cs="Times New Roman"/>
          <w:color w:val="000000"/>
          <w:sz w:val="24"/>
          <w:szCs w:val="24"/>
          <w:lang w:eastAsia="zh-CN"/>
        </w:rPr>
        <w:t>本次配股最终的发行结果如下：</w:t>
      </w:r>
    </w:p>
    <w:p>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ascii="宋体" w:hAnsi="宋体" w:eastAsia="宋体" w:cs="宋体"/>
          <w:b/>
          <w:bCs/>
          <w:sz w:val="24"/>
          <w:szCs w:val="24"/>
        </w:rPr>
      </w:pPr>
      <w:r>
        <w:rPr>
          <w:rFonts w:hint="eastAsia" w:ascii="宋体" w:hAnsi="宋体" w:cs="宋体"/>
          <w:b/>
          <w:bCs/>
          <w:sz w:val="24"/>
          <w:szCs w:val="24"/>
          <w:lang w:eastAsia="zh-CN"/>
        </w:rPr>
        <w:t>（</w:t>
      </w:r>
      <w:r>
        <w:rPr>
          <w:rFonts w:hint="eastAsia" w:ascii="宋体" w:hAnsi="宋体" w:cs="宋体"/>
          <w:b/>
          <w:bCs/>
          <w:sz w:val="24"/>
          <w:szCs w:val="24"/>
          <w:lang w:val="en-US" w:eastAsia="zh-CN"/>
        </w:rPr>
        <w:t>一</w:t>
      </w:r>
      <w:r>
        <w:rPr>
          <w:rFonts w:hint="eastAsia" w:ascii="宋体" w:hAnsi="宋体" w:cs="宋体"/>
          <w:b/>
          <w:bCs/>
          <w:sz w:val="24"/>
          <w:szCs w:val="24"/>
          <w:lang w:eastAsia="zh-CN"/>
        </w:rPr>
        <w:t>）</w:t>
      </w:r>
      <w:r>
        <w:rPr>
          <w:rFonts w:ascii="宋体" w:hAnsi="宋体" w:eastAsia="宋体" w:cs="宋体"/>
          <w:b/>
          <w:bCs/>
          <w:sz w:val="24"/>
          <w:szCs w:val="24"/>
        </w:rPr>
        <w:t>原股东配售结果</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b w:val="0"/>
          <w:bCs w:val="0"/>
        </w:rPr>
      </w:pPr>
      <w:r>
        <w:rPr>
          <w:b w:val="0"/>
          <w:bCs w:val="0"/>
        </w:rPr>
        <w:t>截至本次配股股权登记日（</w:t>
      </w:r>
      <w:r>
        <w:rPr>
          <w:rFonts w:hint="eastAsia" w:cs="Times New Roman"/>
          <w:sz w:val="24"/>
          <w:szCs w:val="24"/>
          <w:lang w:val="en-US" w:eastAsia="zh-CN"/>
        </w:rPr>
        <w:t>2022</w:t>
      </w:r>
      <w:r>
        <w:rPr>
          <w:rFonts w:hint="eastAsia" w:ascii="Times New Roman" w:hAnsi="Times New Roman" w:eastAsia="宋体" w:cs="Times New Roman"/>
          <w:sz w:val="24"/>
          <w:szCs w:val="24"/>
          <w:lang w:eastAsia="zh-CN"/>
        </w:rPr>
        <w:t>年</w:t>
      </w:r>
      <w:r>
        <w:rPr>
          <w:rFonts w:hint="eastAsia" w:cs="Times New Roman"/>
          <w:sz w:val="24"/>
          <w:szCs w:val="24"/>
          <w:lang w:val="en-US" w:eastAsia="zh-CN"/>
        </w:rPr>
        <w:t>2</w:t>
      </w:r>
      <w:r>
        <w:rPr>
          <w:rFonts w:hint="eastAsia" w:ascii="Times New Roman" w:hAnsi="Times New Roman" w:eastAsia="宋体" w:cs="Times New Roman"/>
          <w:sz w:val="24"/>
          <w:szCs w:val="24"/>
          <w:lang w:eastAsia="zh-CN"/>
        </w:rPr>
        <w:t>月</w:t>
      </w:r>
      <w:r>
        <w:rPr>
          <w:rFonts w:hint="eastAsia" w:cs="Times New Roman"/>
          <w:sz w:val="24"/>
          <w:szCs w:val="24"/>
          <w:lang w:val="en-US" w:eastAsia="zh-CN"/>
        </w:rPr>
        <w:t>15</w:t>
      </w:r>
      <w:r>
        <w:rPr>
          <w:rFonts w:hint="eastAsia" w:ascii="Times New Roman" w:hAnsi="Times New Roman" w:eastAsia="宋体" w:cs="Times New Roman"/>
          <w:sz w:val="24"/>
          <w:szCs w:val="24"/>
          <w:lang w:eastAsia="zh-CN"/>
        </w:rPr>
        <w:t>日</w:t>
      </w:r>
      <w:r>
        <w:rPr>
          <w:b w:val="0"/>
          <w:bCs w:val="0"/>
        </w:rPr>
        <w:t>，R日）收市，公司股东持股总量为</w:t>
      </w:r>
      <w:r>
        <w:rPr>
          <w:rFonts w:hint="eastAsia"/>
          <w:lang w:val="en-US" w:eastAsia="zh-CN"/>
        </w:rPr>
        <w:t>1,065,200,000</w:t>
      </w:r>
      <w:r>
        <w:rPr>
          <w:b w:val="0"/>
          <w:bCs w:val="0"/>
        </w:rPr>
        <w:t>股</w:t>
      </w:r>
      <w:r>
        <w:rPr>
          <w:rFonts w:hint="eastAsia"/>
          <w:b w:val="0"/>
          <w:bCs w:val="0"/>
          <w:lang w:eastAsia="zh-CN"/>
        </w:rPr>
        <w:t>，</w:t>
      </w:r>
      <w:r>
        <w:rPr>
          <w:b w:val="0"/>
          <w:bCs w:val="0"/>
        </w:rPr>
        <w:t>截至认购缴款结束日（</w:t>
      </w:r>
      <w:r>
        <w:rPr>
          <w:rFonts w:hint="eastAsia" w:cs="Times New Roman"/>
          <w:sz w:val="24"/>
          <w:szCs w:val="24"/>
          <w:lang w:val="en-US" w:eastAsia="zh-CN"/>
        </w:rPr>
        <w:t>2022</w:t>
      </w:r>
      <w:r>
        <w:rPr>
          <w:rFonts w:hint="eastAsia" w:ascii="Times New Roman" w:hAnsi="Times New Roman" w:eastAsia="宋体" w:cs="Times New Roman"/>
          <w:sz w:val="24"/>
          <w:szCs w:val="24"/>
          <w:lang w:eastAsia="zh-CN"/>
        </w:rPr>
        <w:t>年</w:t>
      </w:r>
      <w:r>
        <w:rPr>
          <w:rFonts w:hint="eastAsia" w:cs="Times New Roman"/>
          <w:sz w:val="24"/>
          <w:szCs w:val="24"/>
          <w:lang w:val="en-US" w:eastAsia="zh-CN"/>
        </w:rPr>
        <w:t>2</w:t>
      </w:r>
      <w:r>
        <w:rPr>
          <w:rFonts w:hint="eastAsia" w:ascii="Times New Roman" w:hAnsi="Times New Roman" w:eastAsia="宋体" w:cs="Times New Roman"/>
          <w:sz w:val="24"/>
          <w:szCs w:val="24"/>
          <w:lang w:eastAsia="zh-CN"/>
        </w:rPr>
        <w:t>月</w:t>
      </w:r>
      <w:r>
        <w:rPr>
          <w:rFonts w:hint="eastAsia" w:cs="Times New Roman"/>
          <w:sz w:val="24"/>
          <w:szCs w:val="24"/>
          <w:lang w:val="en-US" w:eastAsia="zh-CN"/>
        </w:rPr>
        <w:t>22</w:t>
      </w:r>
      <w:r>
        <w:rPr>
          <w:rFonts w:hint="eastAsia" w:ascii="Times New Roman" w:hAnsi="Times New Roman" w:eastAsia="宋体" w:cs="Times New Roman"/>
          <w:sz w:val="24"/>
          <w:szCs w:val="24"/>
          <w:lang w:eastAsia="zh-CN"/>
        </w:rPr>
        <w:t>日</w:t>
      </w:r>
      <w:r>
        <w:rPr>
          <w:b w:val="0"/>
          <w:bCs w:val="0"/>
        </w:rPr>
        <w:t>，R+5日），原股东有效认购数量为</w:t>
      </w:r>
      <w:r>
        <w:rPr>
          <w:rFonts w:hint="eastAsia"/>
          <w:b w:val="0"/>
          <w:bCs w:val="0"/>
        </w:rPr>
        <w:t>150,525,773</w:t>
      </w:r>
      <w:r>
        <w:rPr>
          <w:b w:val="0"/>
          <w:bCs w:val="0"/>
        </w:rPr>
        <w:t>股，占本次可配售股份总数</w:t>
      </w:r>
      <w:r>
        <w:rPr>
          <w:rFonts w:hint="eastAsia"/>
          <w:lang w:val="en-US" w:eastAsia="zh-CN"/>
        </w:rPr>
        <w:t>159,780,000</w:t>
      </w:r>
      <w:r>
        <w:rPr>
          <w:b w:val="0"/>
          <w:bCs w:val="0"/>
        </w:rPr>
        <w:t>股的</w:t>
      </w:r>
      <w:r>
        <w:rPr>
          <w:rFonts w:hint="eastAsia"/>
          <w:b w:val="0"/>
          <w:bCs w:val="0"/>
          <w:lang w:val="en-US" w:eastAsia="zh-CN"/>
        </w:rPr>
        <w:t>94.21</w:t>
      </w:r>
      <w:r>
        <w:rPr>
          <w:b w:val="0"/>
          <w:bCs w:val="0"/>
        </w:rPr>
        <w:t>%，认购金额为</w:t>
      </w:r>
      <w:r>
        <w:rPr>
          <w:rFonts w:hint="eastAsia"/>
          <w:b w:val="0"/>
          <w:bCs w:val="0"/>
        </w:rPr>
        <w:t>677,365,978.50</w:t>
      </w:r>
      <w:r>
        <w:rPr>
          <w:b w:val="0"/>
          <w:bCs w:val="0"/>
        </w:rPr>
        <w:t>元。</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ascii="宋体" w:hAnsi="宋体" w:eastAsia="宋体" w:cs="宋体"/>
          <w:b/>
          <w:bCs/>
          <w:sz w:val="24"/>
          <w:szCs w:val="24"/>
        </w:rPr>
      </w:pPr>
      <w:r>
        <w:rPr>
          <w:rFonts w:hint="eastAsia" w:ascii="宋体" w:hAnsi="宋体" w:cs="宋体"/>
          <w:b/>
          <w:bCs/>
          <w:sz w:val="24"/>
          <w:szCs w:val="24"/>
          <w:lang w:eastAsia="zh-CN"/>
        </w:rPr>
        <w:t>（</w:t>
      </w:r>
      <w:r>
        <w:rPr>
          <w:rFonts w:hint="eastAsia" w:ascii="宋体" w:hAnsi="宋体" w:cs="宋体"/>
          <w:b/>
          <w:bCs/>
          <w:sz w:val="24"/>
          <w:szCs w:val="24"/>
          <w:lang w:val="en-US" w:eastAsia="zh-CN"/>
        </w:rPr>
        <w:t>二</w:t>
      </w:r>
      <w:r>
        <w:rPr>
          <w:rFonts w:hint="eastAsia" w:ascii="宋体" w:hAnsi="宋体" w:cs="宋体"/>
          <w:b/>
          <w:bCs/>
          <w:sz w:val="24"/>
          <w:szCs w:val="24"/>
          <w:lang w:eastAsia="zh-CN"/>
        </w:rPr>
        <w:t>）</w:t>
      </w:r>
      <w:r>
        <w:rPr>
          <w:rFonts w:ascii="宋体" w:hAnsi="宋体" w:eastAsia="宋体" w:cs="宋体"/>
          <w:b/>
          <w:bCs/>
          <w:sz w:val="24"/>
          <w:szCs w:val="24"/>
        </w:rPr>
        <w:t>控股股东承诺认购履行情况</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b w:val="0"/>
          <w:bCs w:val="0"/>
          <w:lang w:eastAsia="zh-CN"/>
        </w:rPr>
      </w:pPr>
      <w:r>
        <w:rPr>
          <w:rFonts w:hint="eastAsia"/>
          <w:b w:val="0"/>
          <w:bCs w:val="0"/>
          <w:lang w:eastAsia="zh-CN"/>
        </w:rPr>
        <w:t>截至本次配股认购缴款结束日（</w:t>
      </w:r>
      <w:r>
        <w:rPr>
          <w:rFonts w:hint="eastAsia" w:cs="Times New Roman"/>
          <w:sz w:val="24"/>
          <w:szCs w:val="24"/>
          <w:lang w:val="en-US" w:eastAsia="zh-CN"/>
        </w:rPr>
        <w:t>2022</w:t>
      </w:r>
      <w:r>
        <w:rPr>
          <w:rFonts w:hint="eastAsia" w:ascii="Times New Roman" w:hAnsi="Times New Roman" w:eastAsia="宋体" w:cs="Times New Roman"/>
          <w:sz w:val="24"/>
          <w:szCs w:val="24"/>
          <w:lang w:eastAsia="zh-CN"/>
        </w:rPr>
        <w:t>年</w:t>
      </w:r>
      <w:r>
        <w:rPr>
          <w:rFonts w:hint="eastAsia" w:cs="Times New Roman"/>
          <w:sz w:val="24"/>
          <w:szCs w:val="24"/>
          <w:lang w:val="en-US" w:eastAsia="zh-CN"/>
        </w:rPr>
        <w:t>2</w:t>
      </w:r>
      <w:r>
        <w:rPr>
          <w:rFonts w:hint="eastAsia" w:ascii="Times New Roman" w:hAnsi="Times New Roman" w:eastAsia="宋体" w:cs="Times New Roman"/>
          <w:sz w:val="24"/>
          <w:szCs w:val="24"/>
          <w:lang w:eastAsia="zh-CN"/>
        </w:rPr>
        <w:t>月</w:t>
      </w:r>
      <w:r>
        <w:rPr>
          <w:rFonts w:hint="eastAsia" w:cs="Times New Roman"/>
          <w:sz w:val="24"/>
          <w:szCs w:val="24"/>
          <w:lang w:val="en-US" w:eastAsia="zh-CN"/>
        </w:rPr>
        <w:t>22</w:t>
      </w:r>
      <w:r>
        <w:rPr>
          <w:rFonts w:hint="eastAsia" w:ascii="Times New Roman" w:hAnsi="Times New Roman" w:eastAsia="宋体" w:cs="Times New Roman"/>
          <w:sz w:val="24"/>
          <w:szCs w:val="24"/>
          <w:lang w:eastAsia="zh-CN"/>
        </w:rPr>
        <w:t>日</w:t>
      </w:r>
      <w:r>
        <w:rPr>
          <w:rFonts w:hint="eastAsia"/>
          <w:b w:val="0"/>
          <w:bCs w:val="0"/>
          <w:lang w:eastAsia="zh-CN"/>
        </w:rPr>
        <w:t>，R+5日），公司控股股东</w:t>
      </w:r>
      <w:r>
        <w:rPr>
          <w:rFonts w:hint="eastAsia"/>
          <w:b w:val="0"/>
          <w:bCs w:val="0"/>
          <w:lang w:val="zh-TW" w:eastAsia="zh-CN"/>
        </w:rPr>
        <w:t>北京三环控股有限公司</w:t>
      </w:r>
      <w:r>
        <w:rPr>
          <w:rFonts w:hint="eastAsia"/>
          <w:b w:val="0"/>
          <w:bCs w:val="0"/>
          <w:lang w:eastAsia="zh-CN"/>
        </w:rPr>
        <w:t>认购37,027,991股，占本次可配售股份总数</w:t>
      </w:r>
      <w:r>
        <w:rPr>
          <w:rFonts w:hint="eastAsia"/>
          <w:lang w:val="en-US" w:eastAsia="zh-CN"/>
        </w:rPr>
        <w:t>159,780,000</w:t>
      </w:r>
      <w:r>
        <w:rPr>
          <w:rFonts w:hint="eastAsia"/>
          <w:b w:val="0"/>
          <w:bCs w:val="0"/>
          <w:lang w:eastAsia="zh-CN"/>
        </w:rPr>
        <w:t>股的</w:t>
      </w:r>
      <w:r>
        <w:rPr>
          <w:rFonts w:hint="eastAsia"/>
          <w:b w:val="0"/>
          <w:bCs w:val="0"/>
          <w:lang w:val="en-US" w:eastAsia="zh-CN"/>
        </w:rPr>
        <w:t>23.17%</w:t>
      </w:r>
      <w:r>
        <w:rPr>
          <w:rFonts w:hint="eastAsia"/>
          <w:b w:val="0"/>
          <w:bCs w:val="0"/>
          <w:lang w:eastAsia="zh-CN"/>
        </w:rPr>
        <w:t>，公司控股股东履行了其全额认购的承诺。</w:t>
      </w:r>
    </w:p>
    <w:p>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ascii="宋体" w:hAnsi="宋体" w:eastAsia="宋体" w:cs="宋体"/>
          <w:b/>
          <w:bCs/>
          <w:sz w:val="24"/>
          <w:szCs w:val="24"/>
        </w:rPr>
      </w:pPr>
      <w:r>
        <w:rPr>
          <w:rFonts w:hint="eastAsia"/>
          <w:b/>
          <w:bCs/>
          <w:lang w:eastAsia="zh-CN"/>
        </w:rPr>
        <w:t>（</w:t>
      </w:r>
      <w:r>
        <w:rPr>
          <w:rFonts w:hint="eastAsia"/>
          <w:b/>
          <w:bCs/>
          <w:lang w:val="en-US" w:eastAsia="zh-CN"/>
        </w:rPr>
        <w:t>三</w:t>
      </w:r>
      <w:r>
        <w:rPr>
          <w:rFonts w:hint="eastAsia"/>
          <w:b/>
          <w:bCs/>
          <w:lang w:eastAsia="zh-CN"/>
        </w:rPr>
        <w:t>）</w:t>
      </w:r>
      <w:r>
        <w:rPr>
          <w:rFonts w:ascii="宋体" w:hAnsi="宋体" w:eastAsia="宋体" w:cs="宋体"/>
          <w:b/>
          <w:bCs/>
          <w:sz w:val="24"/>
          <w:szCs w:val="24"/>
        </w:rPr>
        <w:t>本次配股发行成功</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截至本次配股股权登记日（</w:t>
      </w:r>
      <w:r>
        <w:rPr>
          <w:rFonts w:hint="eastAsia" w:cs="Times New Roman"/>
          <w:sz w:val="24"/>
          <w:szCs w:val="24"/>
          <w:lang w:val="en-US" w:eastAsia="zh-CN"/>
        </w:rPr>
        <w:t>2022</w:t>
      </w:r>
      <w:r>
        <w:rPr>
          <w:rFonts w:hint="eastAsia" w:ascii="Times New Roman" w:hAnsi="Times New Roman" w:eastAsia="宋体" w:cs="Times New Roman"/>
          <w:sz w:val="24"/>
          <w:szCs w:val="24"/>
          <w:lang w:eastAsia="zh-CN"/>
        </w:rPr>
        <w:t>年</w:t>
      </w:r>
      <w:r>
        <w:rPr>
          <w:rFonts w:hint="eastAsia" w:cs="Times New Roman"/>
          <w:sz w:val="24"/>
          <w:szCs w:val="24"/>
          <w:lang w:val="en-US" w:eastAsia="zh-CN"/>
        </w:rPr>
        <w:t>2</w:t>
      </w:r>
      <w:r>
        <w:rPr>
          <w:rFonts w:hint="eastAsia" w:ascii="Times New Roman" w:hAnsi="Times New Roman" w:eastAsia="宋体" w:cs="Times New Roman"/>
          <w:sz w:val="24"/>
          <w:szCs w:val="24"/>
          <w:lang w:eastAsia="zh-CN"/>
        </w:rPr>
        <w:t>月</w:t>
      </w:r>
      <w:r>
        <w:rPr>
          <w:rFonts w:hint="eastAsia" w:cs="Times New Roman"/>
          <w:sz w:val="24"/>
          <w:szCs w:val="24"/>
          <w:lang w:val="en-US" w:eastAsia="zh-CN"/>
        </w:rPr>
        <w:t>15</w:t>
      </w:r>
      <w:r>
        <w:rPr>
          <w:rFonts w:hint="eastAsia" w:ascii="Times New Roman" w:hAnsi="Times New Roman" w:eastAsia="宋体" w:cs="Times New Roman"/>
          <w:sz w:val="24"/>
          <w:szCs w:val="24"/>
          <w:lang w:eastAsia="zh-CN"/>
        </w:rPr>
        <w:t>日</w:t>
      </w:r>
      <w:r>
        <w:rPr>
          <w:rFonts w:hint="eastAsia"/>
          <w:lang w:val="en-US" w:eastAsia="zh-CN"/>
        </w:rPr>
        <w:t>，R日）收市，</w:t>
      </w:r>
      <w:r>
        <w:rPr>
          <w:rFonts w:hint="eastAsia"/>
          <w:b w:val="0"/>
          <w:bCs w:val="0"/>
          <w:lang w:eastAsia="zh-CN"/>
        </w:rPr>
        <w:t>中科三环</w:t>
      </w:r>
      <w:r>
        <w:rPr>
          <w:rFonts w:hint="eastAsia"/>
          <w:lang w:val="en-US" w:eastAsia="zh-CN"/>
        </w:rPr>
        <w:t>股东持股总量为1,065,200,000股，截至配股认购缴款结束日（</w:t>
      </w:r>
      <w:r>
        <w:rPr>
          <w:rFonts w:hint="eastAsia" w:cs="Times New Roman"/>
          <w:sz w:val="24"/>
          <w:szCs w:val="24"/>
          <w:lang w:val="en-US" w:eastAsia="zh-CN"/>
        </w:rPr>
        <w:t>2022</w:t>
      </w:r>
      <w:r>
        <w:rPr>
          <w:rFonts w:hint="eastAsia" w:ascii="Times New Roman" w:hAnsi="Times New Roman" w:eastAsia="宋体" w:cs="Times New Roman"/>
          <w:sz w:val="24"/>
          <w:szCs w:val="24"/>
          <w:lang w:eastAsia="zh-CN"/>
        </w:rPr>
        <w:t>年</w:t>
      </w:r>
      <w:r>
        <w:rPr>
          <w:rFonts w:hint="eastAsia" w:cs="Times New Roman"/>
          <w:sz w:val="24"/>
          <w:szCs w:val="24"/>
          <w:lang w:val="en-US" w:eastAsia="zh-CN"/>
        </w:rPr>
        <w:t>2</w:t>
      </w:r>
      <w:r>
        <w:rPr>
          <w:rFonts w:hint="eastAsia" w:ascii="Times New Roman" w:hAnsi="Times New Roman" w:eastAsia="宋体" w:cs="Times New Roman"/>
          <w:sz w:val="24"/>
          <w:szCs w:val="24"/>
          <w:lang w:eastAsia="zh-CN"/>
        </w:rPr>
        <w:t>月</w:t>
      </w:r>
      <w:r>
        <w:rPr>
          <w:rFonts w:hint="eastAsia" w:cs="Times New Roman"/>
          <w:sz w:val="24"/>
          <w:szCs w:val="24"/>
          <w:lang w:val="en-US" w:eastAsia="zh-CN"/>
        </w:rPr>
        <w:t>22</w:t>
      </w:r>
      <w:r>
        <w:rPr>
          <w:rFonts w:hint="eastAsia" w:ascii="Times New Roman" w:hAnsi="Times New Roman" w:eastAsia="宋体" w:cs="Times New Roman"/>
          <w:sz w:val="24"/>
          <w:szCs w:val="24"/>
          <w:lang w:eastAsia="zh-CN"/>
        </w:rPr>
        <w:t>日</w:t>
      </w:r>
      <w:r>
        <w:rPr>
          <w:rFonts w:hint="eastAsia"/>
          <w:lang w:val="en-US" w:eastAsia="zh-CN"/>
        </w:rPr>
        <w:t>，R+5日）有效认购数量为150,525,773股，认购金额为人民币677,365,978.50元，占本次可配股份总数159,780,000股的94.21%，超过了中国证券监督管理委员会《上市公司证券发行管理办法》中关于“原股东认购股票的数量未达到拟配售数量百分之七十的”视为发行失败的</w:t>
      </w:r>
      <w:r>
        <w:rPr>
          <w:rFonts w:hint="default"/>
          <w:lang w:val="en-US" w:eastAsia="zh-CN"/>
        </w:rPr>
        <w:t>限制</w:t>
      </w:r>
      <w:r>
        <w:rPr>
          <w:rFonts w:hint="eastAsia"/>
          <w:lang w:val="en-US" w:eastAsia="zh-CN"/>
        </w:rPr>
        <w:t>，故本次配股发行成功。</w:t>
      </w:r>
    </w:p>
    <w:p>
      <w:pPr>
        <w:bidi w:val="0"/>
        <w:rPr>
          <w:rFonts w:ascii="宋体" w:hAnsi="宋体" w:eastAsia="宋体" w:cs="宋体"/>
          <w:b/>
          <w:bCs/>
          <w:sz w:val="24"/>
          <w:szCs w:val="24"/>
        </w:rPr>
      </w:pPr>
      <w:r>
        <w:rPr>
          <w:rFonts w:hint="eastAsia"/>
          <w:b/>
          <w:bCs/>
          <w:lang w:eastAsia="zh-CN"/>
        </w:rPr>
        <w:t>（</w:t>
      </w:r>
      <w:r>
        <w:rPr>
          <w:rFonts w:hint="eastAsia"/>
          <w:b/>
          <w:bCs/>
          <w:lang w:val="en-US" w:eastAsia="zh-CN"/>
        </w:rPr>
        <w:t>四</w:t>
      </w:r>
      <w:r>
        <w:rPr>
          <w:rFonts w:hint="eastAsia"/>
          <w:b/>
          <w:bCs/>
          <w:lang w:eastAsia="zh-CN"/>
        </w:rPr>
        <w:t>）送达通知</w:t>
      </w:r>
    </w:p>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本发行结果公告一经刊出，即视同向认购获得配售的所有股东送达获配的通知。</w:t>
      </w:r>
    </w:p>
    <w:p>
      <w:pPr>
        <w:pStyle w:val="2"/>
        <w:bidi w:val="0"/>
      </w:pPr>
      <w:r>
        <w:rPr>
          <w:rFonts w:hint="eastAsia"/>
          <w:lang w:val="en-US" w:eastAsia="zh-CN"/>
        </w:rPr>
        <w:t>三</w:t>
      </w:r>
      <w:r>
        <w:t>、配股除权与上市</w:t>
      </w:r>
    </w:p>
    <w:p>
      <w:pPr>
        <w:pStyle w:val="2"/>
        <w:bidi w:val="0"/>
        <w:ind w:firstLine="480" w:firstLineChars="200"/>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本公告刊登当日（</w:t>
      </w:r>
      <w:r>
        <w:rPr>
          <w:rFonts w:hint="eastAsia" w:eastAsia="宋体" w:cs="Times New Roman"/>
          <w:b w:val="0"/>
          <w:bCs w:val="0"/>
          <w:kern w:val="2"/>
          <w:sz w:val="24"/>
          <w:szCs w:val="24"/>
          <w:lang w:val="en-US" w:eastAsia="zh-CN" w:bidi="ar-SA"/>
        </w:rPr>
        <w:t>2022</w:t>
      </w:r>
      <w:r>
        <w:rPr>
          <w:rFonts w:hint="eastAsia" w:ascii="Times New Roman" w:hAnsi="Times New Roman" w:eastAsia="宋体" w:cs="Times New Roman"/>
          <w:b w:val="0"/>
          <w:bCs w:val="0"/>
          <w:kern w:val="2"/>
          <w:sz w:val="24"/>
          <w:szCs w:val="24"/>
          <w:lang w:val="en-US" w:eastAsia="zh-CN" w:bidi="ar-SA"/>
        </w:rPr>
        <w:t>年</w:t>
      </w:r>
      <w:r>
        <w:rPr>
          <w:rFonts w:hint="eastAsia" w:eastAsia="宋体" w:cs="Times New Roman"/>
          <w:b w:val="0"/>
          <w:bCs w:val="0"/>
          <w:kern w:val="2"/>
          <w:sz w:val="24"/>
          <w:szCs w:val="24"/>
          <w:lang w:val="en-US" w:eastAsia="zh-CN" w:bidi="ar-SA"/>
        </w:rPr>
        <w:t>2</w:t>
      </w:r>
      <w:r>
        <w:rPr>
          <w:rFonts w:hint="eastAsia" w:ascii="Times New Roman" w:hAnsi="Times New Roman" w:eastAsia="宋体" w:cs="Times New Roman"/>
          <w:b w:val="0"/>
          <w:bCs w:val="0"/>
          <w:kern w:val="2"/>
          <w:sz w:val="24"/>
          <w:szCs w:val="24"/>
          <w:lang w:val="en-US" w:eastAsia="zh-CN" w:bidi="ar-SA"/>
        </w:rPr>
        <w:t>月</w:t>
      </w:r>
      <w:r>
        <w:rPr>
          <w:rFonts w:hint="eastAsia" w:eastAsia="宋体" w:cs="Times New Roman"/>
          <w:b w:val="0"/>
          <w:bCs w:val="0"/>
          <w:kern w:val="2"/>
          <w:sz w:val="24"/>
          <w:szCs w:val="24"/>
          <w:lang w:val="en-US" w:eastAsia="zh-CN" w:bidi="ar-SA"/>
        </w:rPr>
        <w:t>24</w:t>
      </w:r>
      <w:r>
        <w:rPr>
          <w:rFonts w:hint="eastAsia" w:ascii="Times New Roman" w:hAnsi="Times New Roman" w:eastAsia="宋体" w:cs="Times New Roman"/>
          <w:b w:val="0"/>
          <w:bCs w:val="0"/>
          <w:kern w:val="2"/>
          <w:sz w:val="24"/>
          <w:szCs w:val="24"/>
          <w:lang w:val="en-US" w:eastAsia="zh-CN" w:bidi="ar-SA"/>
        </w:rPr>
        <w:t>日，R+7日）即为</w:t>
      </w:r>
      <w:r>
        <w:rPr>
          <w:rFonts w:hint="eastAsia" w:eastAsia="宋体" w:cs="Times New Roman"/>
          <w:b w:val="0"/>
          <w:bCs w:val="0"/>
          <w:kern w:val="2"/>
          <w:sz w:val="24"/>
          <w:szCs w:val="24"/>
          <w:lang w:val="en-US" w:eastAsia="zh-CN" w:bidi="ar-SA"/>
        </w:rPr>
        <w:t>配股</w:t>
      </w:r>
      <w:r>
        <w:rPr>
          <w:rFonts w:hint="eastAsia" w:ascii="Times New Roman" w:hAnsi="Times New Roman" w:eastAsia="宋体" w:cs="Times New Roman"/>
          <w:b w:val="0"/>
          <w:bCs w:val="0"/>
          <w:kern w:val="2"/>
          <w:sz w:val="24"/>
          <w:szCs w:val="24"/>
          <w:lang w:val="en-US" w:eastAsia="zh-CN" w:bidi="ar-SA"/>
        </w:rPr>
        <w:t>发行成功的除权基准日（配股除权日），除权价格依据实际配股比例计算，实际配股比例相当于每10股配售</w:t>
      </w:r>
      <w:r>
        <w:rPr>
          <w:rFonts w:hint="eastAsia" w:eastAsia="宋体" w:cs="Times New Roman"/>
          <w:b w:val="0"/>
          <w:bCs w:val="0"/>
          <w:kern w:val="2"/>
          <w:sz w:val="24"/>
          <w:szCs w:val="24"/>
          <w:lang w:val="en-US" w:eastAsia="zh-CN" w:bidi="ar-SA"/>
        </w:rPr>
        <w:t>1.413122</w:t>
      </w:r>
      <w:r>
        <w:rPr>
          <w:rFonts w:hint="eastAsia" w:ascii="Times New Roman" w:hAnsi="Times New Roman" w:eastAsia="宋体" w:cs="Times New Roman"/>
          <w:b w:val="0"/>
          <w:bCs w:val="0"/>
          <w:kern w:val="2"/>
          <w:sz w:val="24"/>
          <w:szCs w:val="24"/>
          <w:lang w:val="en-US" w:eastAsia="zh-CN" w:bidi="ar-SA"/>
        </w:rPr>
        <w:t>股。本次配股的获配股份上市时间将另行公告。</w:t>
      </w:r>
    </w:p>
    <w:p>
      <w:pPr>
        <w:ind w:left="0" w:leftChars="0" w:firstLine="0" w:firstLineChars="0"/>
        <w:rPr>
          <w:rFonts w:hint="default" w:ascii="Times New Roman" w:hAnsi="Times New Roman" w:eastAsia="黑体" w:cs="Times New Roman"/>
          <w:b/>
          <w:bCs/>
          <w:kern w:val="44"/>
          <w:sz w:val="28"/>
          <w:szCs w:val="44"/>
          <w:lang w:val="en-US" w:eastAsia="zh-CN" w:bidi="ar-SA"/>
        </w:rPr>
      </w:pPr>
      <w:r>
        <w:rPr>
          <w:rFonts w:hint="eastAsia" w:ascii="Times New Roman" w:hAnsi="Times New Roman" w:eastAsia="黑体" w:cs="Times New Roman"/>
          <w:b/>
          <w:bCs/>
          <w:kern w:val="44"/>
          <w:sz w:val="28"/>
          <w:szCs w:val="44"/>
          <w:lang w:val="en-US" w:eastAsia="zh-CN" w:bidi="ar-SA"/>
        </w:rPr>
        <w:t>四、本次发行的信息披露</w:t>
      </w:r>
    </w:p>
    <w:p>
      <w:pPr>
        <w:ind w:left="0" w:leftChars="0" w:firstLine="480" w:firstLineChars="200"/>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有关本次发行的详细情况，请投资者查阅</w:t>
      </w:r>
      <w:r>
        <w:rPr>
          <w:rFonts w:hint="eastAsia" w:cs="Times New Roman"/>
          <w:b w:val="0"/>
          <w:bCs w:val="0"/>
          <w:kern w:val="2"/>
          <w:sz w:val="24"/>
          <w:szCs w:val="24"/>
          <w:lang w:val="en-US" w:eastAsia="zh-CN" w:bidi="ar-SA"/>
        </w:rPr>
        <w:t>2022</w:t>
      </w:r>
      <w:r>
        <w:rPr>
          <w:rFonts w:hint="eastAsia" w:ascii="Times New Roman" w:hAnsi="Times New Roman" w:eastAsia="宋体" w:cs="Times New Roman"/>
          <w:b w:val="0"/>
          <w:bCs w:val="0"/>
          <w:kern w:val="2"/>
          <w:sz w:val="24"/>
          <w:szCs w:val="24"/>
          <w:lang w:val="en-US" w:eastAsia="zh-CN" w:bidi="ar-SA"/>
        </w:rPr>
        <w:t>年</w:t>
      </w:r>
      <w:r>
        <w:rPr>
          <w:rFonts w:hint="eastAsia" w:cs="Times New Roman"/>
          <w:b w:val="0"/>
          <w:bCs w:val="0"/>
          <w:kern w:val="2"/>
          <w:sz w:val="24"/>
          <w:szCs w:val="24"/>
          <w:lang w:val="en-US" w:eastAsia="zh-CN" w:bidi="ar-SA"/>
        </w:rPr>
        <w:t>2</w:t>
      </w:r>
      <w:r>
        <w:rPr>
          <w:rFonts w:hint="eastAsia" w:ascii="Times New Roman" w:hAnsi="Times New Roman" w:eastAsia="宋体" w:cs="Times New Roman"/>
          <w:b w:val="0"/>
          <w:bCs w:val="0"/>
          <w:kern w:val="2"/>
          <w:sz w:val="24"/>
          <w:szCs w:val="24"/>
          <w:lang w:val="en-US" w:eastAsia="zh-CN" w:bidi="ar-SA"/>
        </w:rPr>
        <w:t>月</w:t>
      </w:r>
      <w:r>
        <w:rPr>
          <w:rFonts w:hint="eastAsia" w:cs="Times New Roman"/>
          <w:b w:val="0"/>
          <w:bCs w:val="0"/>
          <w:kern w:val="2"/>
          <w:sz w:val="24"/>
          <w:szCs w:val="24"/>
          <w:lang w:val="en-US" w:eastAsia="zh-CN" w:bidi="ar-SA"/>
        </w:rPr>
        <w:t>11</w:t>
      </w:r>
      <w:r>
        <w:rPr>
          <w:rFonts w:hint="eastAsia" w:ascii="Times New Roman" w:hAnsi="Times New Roman" w:eastAsia="宋体" w:cs="Times New Roman"/>
          <w:b w:val="0"/>
          <w:bCs w:val="0"/>
          <w:kern w:val="2"/>
          <w:sz w:val="24"/>
          <w:szCs w:val="24"/>
          <w:lang w:val="en-US" w:eastAsia="zh-CN" w:bidi="ar-SA"/>
        </w:rPr>
        <w:t>日（R-2日）在《中国证券报》《证券时报》《证券日报》《上海证券报》上刊登的《</w:t>
      </w:r>
      <w:r>
        <w:rPr>
          <w:rFonts w:hint="eastAsia"/>
          <w:lang w:eastAsia="zh-CN"/>
        </w:rPr>
        <w:t>北京中科三环高技术股份有限公司</w:t>
      </w:r>
      <w:r>
        <w:rPr>
          <w:rFonts w:hint="eastAsia" w:ascii="Times New Roman" w:hAnsi="Times New Roman" w:eastAsia="宋体" w:cs="Times New Roman"/>
          <w:b w:val="0"/>
          <w:bCs w:val="0"/>
          <w:kern w:val="2"/>
          <w:sz w:val="24"/>
          <w:szCs w:val="24"/>
          <w:lang w:val="en-US" w:eastAsia="zh-CN" w:bidi="ar-SA"/>
        </w:rPr>
        <w:t>配股发行公告》，投资者也可以到巨潮资讯网（http://www.cninfo.com.cn）查询《</w:t>
      </w:r>
      <w:r>
        <w:rPr>
          <w:rFonts w:hint="eastAsia"/>
          <w:lang w:eastAsia="zh-CN"/>
        </w:rPr>
        <w:t>北京中科三环高技术股份有限公司</w:t>
      </w:r>
      <w:r>
        <w:rPr>
          <w:rFonts w:hint="eastAsia" w:ascii="Times New Roman" w:hAnsi="Times New Roman" w:eastAsia="宋体" w:cs="Times New Roman"/>
          <w:b w:val="0"/>
          <w:bCs w:val="0"/>
          <w:kern w:val="2"/>
          <w:sz w:val="24"/>
          <w:szCs w:val="24"/>
          <w:lang w:val="en-US" w:eastAsia="zh-CN" w:bidi="ar-SA"/>
        </w:rPr>
        <w:t xml:space="preserve">配股说明书》全文及有关本次发行的相关资料。有关本次发行的其他事宜，发行人和保荐机构（主承销商）将视需要在上述媒体上及时公告，敬请投资者留意。 </w:t>
      </w:r>
    </w:p>
    <w:p>
      <w:pPr>
        <w:ind w:left="0" w:leftChars="0" w:firstLine="482" w:firstLineChars="200"/>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公司股票自</w:t>
      </w:r>
      <w:r>
        <w:rPr>
          <w:rFonts w:hint="eastAsia" w:cs="Times New Roman"/>
          <w:b/>
          <w:bCs/>
          <w:kern w:val="2"/>
          <w:sz w:val="24"/>
          <w:szCs w:val="24"/>
          <w:lang w:val="en-US" w:eastAsia="zh-CN" w:bidi="ar-SA"/>
        </w:rPr>
        <w:t>2022</w:t>
      </w:r>
      <w:r>
        <w:rPr>
          <w:rFonts w:hint="eastAsia" w:ascii="Times New Roman" w:hAnsi="Times New Roman" w:eastAsia="宋体" w:cs="Times New Roman"/>
          <w:b/>
          <w:bCs/>
          <w:kern w:val="2"/>
          <w:sz w:val="24"/>
          <w:szCs w:val="24"/>
          <w:lang w:val="en-US" w:eastAsia="zh-CN" w:bidi="ar-SA"/>
        </w:rPr>
        <w:t>年</w:t>
      </w:r>
      <w:r>
        <w:rPr>
          <w:rFonts w:hint="eastAsia" w:cs="Times New Roman"/>
          <w:b/>
          <w:bCs/>
          <w:kern w:val="2"/>
          <w:sz w:val="24"/>
          <w:szCs w:val="24"/>
          <w:lang w:val="en-US" w:eastAsia="zh-CN" w:bidi="ar-SA"/>
        </w:rPr>
        <w:t>2</w:t>
      </w:r>
      <w:r>
        <w:rPr>
          <w:rFonts w:hint="eastAsia" w:ascii="Times New Roman" w:hAnsi="Times New Roman" w:eastAsia="宋体" w:cs="Times New Roman"/>
          <w:b/>
          <w:bCs/>
          <w:kern w:val="2"/>
          <w:sz w:val="24"/>
          <w:szCs w:val="24"/>
          <w:lang w:val="en-US" w:eastAsia="zh-CN" w:bidi="ar-SA"/>
        </w:rPr>
        <w:t>月</w:t>
      </w:r>
      <w:r>
        <w:rPr>
          <w:rFonts w:hint="eastAsia" w:cs="Times New Roman"/>
          <w:b/>
          <w:bCs/>
          <w:kern w:val="2"/>
          <w:sz w:val="24"/>
          <w:szCs w:val="24"/>
          <w:lang w:val="en-US" w:eastAsia="zh-CN" w:bidi="ar-SA"/>
        </w:rPr>
        <w:t>24</w:t>
      </w:r>
      <w:r>
        <w:rPr>
          <w:rFonts w:hint="eastAsia" w:ascii="Times New Roman" w:hAnsi="Times New Roman" w:eastAsia="宋体" w:cs="Times New Roman"/>
          <w:b/>
          <w:bCs/>
          <w:kern w:val="2"/>
          <w:sz w:val="24"/>
          <w:szCs w:val="24"/>
          <w:lang w:val="en-US" w:eastAsia="zh-CN" w:bidi="ar-SA"/>
        </w:rPr>
        <w:t>日开市起复牌。</w:t>
      </w:r>
    </w:p>
    <w:p>
      <w:pPr>
        <w:pStyle w:val="2"/>
        <w:bidi w:val="0"/>
      </w:pPr>
      <w:r>
        <w:rPr>
          <w:rFonts w:hint="eastAsia"/>
          <w:lang w:val="en-US" w:eastAsia="zh-CN"/>
        </w:rPr>
        <w:t>五、</w:t>
      </w:r>
      <w:r>
        <w:t>发行人及</w:t>
      </w:r>
      <w:r>
        <w:rPr>
          <w:rFonts w:hint="eastAsia"/>
          <w:lang w:val="en-US" w:eastAsia="zh-CN"/>
        </w:rPr>
        <w:t>保荐机构（</w:t>
      </w:r>
      <w:r>
        <w:t>主承销商</w:t>
      </w:r>
      <w:r>
        <w:rPr>
          <w:rFonts w:hint="eastAsia"/>
          <w:lang w:eastAsia="zh-CN"/>
        </w:rPr>
        <w:t>）</w:t>
      </w:r>
    </w:p>
    <w:p>
      <w:pPr>
        <w:pStyle w:val="3"/>
        <w:bidi w:val="0"/>
        <w:rPr>
          <w:rFonts w:hint="eastAsia"/>
          <w:lang w:eastAsia="zh-CN"/>
        </w:rPr>
      </w:pPr>
      <w:bookmarkStart w:id="1" w:name="_Hlk28250711"/>
      <w:r>
        <w:rPr>
          <w:rFonts w:hint="eastAsia"/>
          <w:lang w:eastAsia="zh-CN"/>
        </w:rPr>
        <w:t>（</w:t>
      </w:r>
      <w:r>
        <w:rPr>
          <w:rFonts w:hint="eastAsia"/>
          <w:lang w:val="en-US" w:eastAsia="zh-CN"/>
        </w:rPr>
        <w:t>一</w:t>
      </w:r>
      <w:r>
        <w:rPr>
          <w:rFonts w:hint="eastAsia"/>
          <w:lang w:eastAsia="zh-CN"/>
        </w:rPr>
        <w:t>）</w:t>
      </w:r>
      <w:r>
        <w:t>发行人：</w:t>
      </w:r>
      <w:r>
        <w:rPr>
          <w:rFonts w:hint="eastAsia"/>
          <w:lang w:eastAsia="zh-CN"/>
        </w:rPr>
        <w:t>北京中科三环高技术股份有限公司</w:t>
      </w:r>
    </w:p>
    <w:p>
      <w:pPr>
        <w:bidi w:val="0"/>
        <w:rPr>
          <w:rFonts w:hint="default" w:eastAsia="宋体"/>
          <w:lang w:val="en-US" w:eastAsia="zh-CN"/>
        </w:rPr>
      </w:pPr>
      <w:r>
        <w:rPr>
          <w:rFonts w:hint="eastAsia"/>
          <w:lang w:val="en-US" w:eastAsia="zh-CN"/>
        </w:rPr>
        <w:t>法定代表人：王震西</w:t>
      </w:r>
    </w:p>
    <w:p>
      <w:pPr>
        <w:bidi w:val="0"/>
      </w:pPr>
      <w:r>
        <w:t>联系地址：北京市海淀区中关村东路66号甲1号楼27层</w:t>
      </w:r>
    </w:p>
    <w:p>
      <w:pPr>
        <w:bidi w:val="0"/>
      </w:pPr>
      <w:r>
        <w:t>联系人：赵寅鹏</w:t>
      </w:r>
      <w:r>
        <w:rPr>
          <w:rFonts w:hint="eastAsia"/>
        </w:rPr>
        <w:t>、田文斌</w:t>
      </w:r>
    </w:p>
    <w:p>
      <w:pPr>
        <w:bidi w:val="0"/>
      </w:pPr>
      <w:r>
        <w:t>联系电话：010-62656017</w:t>
      </w:r>
    </w:p>
    <w:p>
      <w:pPr>
        <w:pStyle w:val="3"/>
        <w:bidi w:val="0"/>
        <w:rPr>
          <w:rFonts w:hint="eastAsia"/>
          <w:lang w:eastAsia="zh-CN"/>
        </w:rPr>
      </w:pPr>
      <w:r>
        <w:rPr>
          <w:rFonts w:hint="eastAsia"/>
          <w:lang w:eastAsia="zh-CN"/>
        </w:rPr>
        <w:t>（</w:t>
      </w:r>
      <w:r>
        <w:rPr>
          <w:rFonts w:hint="eastAsia"/>
          <w:lang w:val="en-US" w:eastAsia="zh-CN"/>
        </w:rPr>
        <w:t>二</w:t>
      </w:r>
      <w:r>
        <w:rPr>
          <w:rFonts w:hint="eastAsia"/>
          <w:lang w:eastAsia="zh-CN"/>
        </w:rPr>
        <w:t>）</w:t>
      </w:r>
      <w:r>
        <w:t>保荐机构（主承销商）：</w:t>
      </w:r>
      <w:r>
        <w:rPr>
          <w:rFonts w:hint="eastAsia"/>
          <w:lang w:eastAsia="zh-CN"/>
        </w:rPr>
        <w:t>国金证券股份有限公司</w:t>
      </w:r>
    </w:p>
    <w:p>
      <w:pPr>
        <w:bidi w:val="0"/>
        <w:rPr>
          <w:rFonts w:hint="default"/>
          <w:lang w:val="en-US"/>
        </w:rPr>
      </w:pPr>
      <w:r>
        <w:rPr>
          <w:rFonts w:hint="eastAsia"/>
          <w:lang w:val="en-US" w:eastAsia="zh-CN"/>
        </w:rPr>
        <w:t>法定代表人：冉云</w:t>
      </w:r>
    </w:p>
    <w:p>
      <w:pPr>
        <w:bidi w:val="0"/>
        <w:rPr>
          <w:rFonts w:hint="default" w:eastAsia="宋体"/>
          <w:lang w:val="en-US" w:eastAsia="zh-CN"/>
        </w:rPr>
      </w:pPr>
      <w:r>
        <w:rPr>
          <w:rFonts w:hint="eastAsia"/>
        </w:rPr>
        <w:t>联系地址：</w:t>
      </w:r>
      <w:r>
        <w:rPr>
          <w:rFonts w:hint="eastAsia"/>
          <w:lang w:val="en-US" w:eastAsia="zh-CN"/>
        </w:rPr>
        <w:t>上海市浦东新区芳甸路1088号紫竹国际大厦13层</w:t>
      </w:r>
    </w:p>
    <w:p>
      <w:pPr>
        <w:bidi w:val="0"/>
      </w:pPr>
      <w:r>
        <w:t>联系人：</w:t>
      </w:r>
      <w:r>
        <w:rPr>
          <w:rFonts w:hint="eastAsia"/>
        </w:rPr>
        <w:t>资本市场部</w:t>
      </w:r>
    </w:p>
    <w:p>
      <w:pPr>
        <w:bidi w:val="0"/>
        <w:rPr>
          <w:rFonts w:hint="default" w:eastAsia="宋体"/>
          <w:lang w:val="en-US" w:eastAsia="zh-CN"/>
        </w:rPr>
      </w:pPr>
      <w:r>
        <w:t>联系电话：0</w:t>
      </w:r>
      <w:r>
        <w:rPr>
          <w:rFonts w:hint="eastAsia"/>
          <w:lang w:val="en-US" w:eastAsia="zh-CN"/>
        </w:rPr>
        <w:t>21</w:t>
      </w:r>
      <w:r>
        <w:t>-</w:t>
      </w:r>
      <w:r>
        <w:rPr>
          <w:rFonts w:hint="eastAsia"/>
          <w:lang w:val="en-US" w:eastAsia="zh-CN"/>
        </w:rPr>
        <w:t>68826138、021-68826809</w:t>
      </w:r>
    </w:p>
    <w:p>
      <w:pPr>
        <w:bidi w:val="0"/>
      </w:pPr>
    </w:p>
    <w:p>
      <w:pPr>
        <w:bidi w:val="0"/>
      </w:pPr>
      <w:r>
        <w:t>特此公告。</w:t>
      </w:r>
    </w:p>
    <w:p>
      <w:pPr>
        <w:pStyle w:val="16"/>
        <w:spacing w:line="360" w:lineRule="auto"/>
        <w:ind w:firstLine="480" w:firstLineChars="200"/>
        <w:jc w:val="both"/>
        <w:rPr>
          <w:rFonts w:cs="Arial"/>
          <w:color w:val="auto"/>
        </w:rPr>
      </w:pPr>
    </w:p>
    <w:p>
      <w:pPr>
        <w:pStyle w:val="16"/>
        <w:spacing w:line="360" w:lineRule="auto"/>
        <w:ind w:firstLine="480" w:firstLineChars="200"/>
        <w:jc w:val="both"/>
        <w:rPr>
          <w:rFonts w:cs="Arial"/>
          <w:color w:val="auto"/>
        </w:rPr>
      </w:pPr>
    </w:p>
    <w:bookmarkEnd w:id="1"/>
    <w:p>
      <w:pPr>
        <w:bidi w:val="0"/>
        <w:jc w:val="right"/>
        <w:rPr>
          <w:rFonts w:hint="eastAsia"/>
          <w:lang w:eastAsia="zh-CN"/>
        </w:rPr>
      </w:pPr>
      <w:bookmarkStart w:id="2" w:name="_Hlk28248666"/>
      <w:r>
        <w:t>发行人：</w:t>
      </w:r>
      <w:r>
        <w:rPr>
          <w:rFonts w:hint="eastAsia"/>
          <w:lang w:eastAsia="zh-CN"/>
        </w:rPr>
        <w:t>北京中科三环高技术股份有限公司</w:t>
      </w:r>
    </w:p>
    <w:p>
      <w:pPr>
        <w:bidi w:val="0"/>
        <w:jc w:val="right"/>
        <w:rPr>
          <w:rFonts w:hint="eastAsia"/>
          <w:lang w:eastAsia="zh-CN"/>
        </w:rPr>
      </w:pPr>
      <w:r>
        <w:t>保荐机构（主承销商）：</w:t>
      </w:r>
      <w:r>
        <w:rPr>
          <w:rFonts w:hint="eastAsia"/>
          <w:lang w:eastAsia="zh-CN"/>
        </w:rPr>
        <w:t>国金证券股份有限公司</w:t>
      </w:r>
    </w:p>
    <w:p>
      <w:pPr>
        <w:bidi w:val="0"/>
        <w:jc w:val="right"/>
      </w:pPr>
      <w:r>
        <w:rPr>
          <w:rFonts w:hint="eastAsia"/>
          <w:lang w:val="en-US" w:eastAsia="zh-CN"/>
        </w:rPr>
        <w:t>2022</w:t>
      </w:r>
      <w:r>
        <w:t>年</w:t>
      </w:r>
      <w:r>
        <w:rPr>
          <w:rFonts w:hint="eastAsia"/>
          <w:lang w:val="en-US" w:eastAsia="zh-CN"/>
        </w:rPr>
        <w:t>2</w:t>
      </w:r>
      <w:r>
        <w:t>月</w:t>
      </w:r>
      <w:r>
        <w:rPr>
          <w:rFonts w:hint="eastAsia"/>
          <w:lang w:val="en-US" w:eastAsia="zh-CN"/>
        </w:rPr>
        <w:t>24</w:t>
      </w:r>
      <w:r>
        <w:t>日</w:t>
      </w:r>
    </w:p>
    <w:p>
      <w:pPr>
        <w:widowControl/>
        <w:jc w:val="left"/>
        <w:rPr>
          <w:rFonts w:ascii="Times New Roman" w:hAnsi="Times New Roman" w:cs="Arial"/>
          <w:kern w:val="0"/>
          <w:sz w:val="24"/>
          <w:szCs w:val="24"/>
        </w:rPr>
      </w:pPr>
      <w:r>
        <w:rPr>
          <w:rFonts w:ascii="Times New Roman" w:hAnsi="Times New Roman" w:cs="Arial"/>
        </w:rPr>
        <w:br w:type="page"/>
      </w:r>
    </w:p>
    <w:p>
      <w:pPr>
        <w:pStyle w:val="16"/>
        <w:spacing w:line="360" w:lineRule="auto"/>
        <w:ind w:firstLine="3120" w:firstLineChars="1300"/>
        <w:jc w:val="right"/>
        <w:rPr>
          <w:rFonts w:cs="Arial"/>
          <w:color w:val="auto"/>
        </w:rPr>
        <w:sectPr>
          <w:footerReference r:id="rId3" w:type="default"/>
          <w:pgSz w:w="11906" w:h="16838"/>
          <w:pgMar w:top="1440" w:right="1797" w:bottom="1440" w:left="1797" w:header="720" w:footer="720" w:gutter="0"/>
          <w:pgBorders>
            <w:top w:val="none" w:sz="0" w:space="0"/>
            <w:left w:val="none" w:sz="0" w:space="0"/>
            <w:bottom w:val="none" w:sz="0" w:space="0"/>
            <w:right w:val="none" w:sz="0" w:space="0"/>
          </w:pgBorders>
          <w:cols w:space="720" w:num="1"/>
          <w:docGrid w:linePitch="286" w:charSpace="0"/>
        </w:sectPr>
      </w:pPr>
    </w:p>
    <w:bookmarkEnd w:id="2"/>
    <w:p>
      <w:pPr>
        <w:pStyle w:val="16"/>
        <w:spacing w:before="156" w:beforeLines="50" w:after="156" w:afterLines="50" w:line="360" w:lineRule="auto"/>
        <w:rPr>
          <w:rFonts w:cs="Arial"/>
          <w:color w:val="auto"/>
        </w:rPr>
      </w:pPr>
      <w:bookmarkStart w:id="3" w:name="_Hlk28250781"/>
      <w:r>
        <w:drawing>
          <wp:anchor distT="0" distB="0" distL="114300" distR="114300" simplePos="0" relativeHeight="251659264" behindDoc="0" locked="0" layoutInCell="1" allowOverlap="1">
            <wp:simplePos x="0" y="0"/>
            <wp:positionH relativeFrom="column">
              <wp:posOffset>-1171575</wp:posOffset>
            </wp:positionH>
            <wp:positionV relativeFrom="paragraph">
              <wp:posOffset>-971550</wp:posOffset>
            </wp:positionV>
            <wp:extent cx="7614285" cy="10763885"/>
            <wp:effectExtent l="0" t="0" r="5715" b="571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7614285" cy="10763885"/>
                    </a:xfrm>
                    <a:prstGeom prst="rect">
                      <a:avLst/>
                    </a:prstGeom>
                    <a:noFill/>
                    <a:ln>
                      <a:noFill/>
                    </a:ln>
                  </pic:spPr>
                </pic:pic>
              </a:graphicData>
            </a:graphic>
          </wp:anchor>
        </w:drawing>
      </w:r>
      <w:r>
        <w:rPr>
          <w:rFonts w:cs="Arial"/>
        </w:rPr>
        <w:t>（此页无正文，为《</w:t>
      </w:r>
      <w:r>
        <w:rPr>
          <w:rFonts w:hint="eastAsia" w:cs="Arial"/>
          <w:lang w:eastAsia="zh-CN"/>
        </w:rPr>
        <w:t>北京中科三环高技术股份有限公司配股</w:t>
      </w:r>
      <w:r>
        <w:rPr>
          <w:rFonts w:hint="eastAsia" w:cs="Arial"/>
          <w:lang w:val="en-US" w:eastAsia="zh-CN"/>
        </w:rPr>
        <w:t>发行结果</w:t>
      </w:r>
      <w:r>
        <w:rPr>
          <w:rFonts w:hint="eastAsia" w:cs="Arial"/>
          <w:lang w:eastAsia="zh-CN"/>
        </w:rPr>
        <w:t>公告</w:t>
      </w:r>
      <w:r>
        <w:rPr>
          <w:rFonts w:cs="Arial"/>
        </w:rPr>
        <w:t>》之盖章页）</w:t>
      </w:r>
    </w:p>
    <w:p>
      <w:pPr>
        <w:spacing w:before="156" w:beforeLines="50" w:after="156" w:afterLines="50" w:line="360" w:lineRule="auto"/>
        <w:rPr>
          <w:rFonts w:ascii="Times New Roman" w:hAnsi="Times New Roman" w:cs="Arial"/>
          <w:color w:val="000000"/>
          <w:kern w:val="0"/>
          <w:sz w:val="24"/>
          <w:szCs w:val="24"/>
        </w:rPr>
      </w:pPr>
    </w:p>
    <w:p>
      <w:pPr>
        <w:pStyle w:val="16"/>
        <w:spacing w:before="156" w:beforeLines="50" w:after="156" w:afterLines="50" w:line="360" w:lineRule="auto"/>
        <w:ind w:right="720"/>
        <w:jc w:val="right"/>
        <w:rPr>
          <w:rFonts w:cs="Arial"/>
        </w:rPr>
      </w:pPr>
    </w:p>
    <w:p>
      <w:pPr>
        <w:pStyle w:val="16"/>
        <w:spacing w:before="156" w:beforeLines="50" w:after="156" w:afterLines="50" w:line="360" w:lineRule="auto"/>
        <w:ind w:right="720"/>
        <w:jc w:val="right"/>
        <w:rPr>
          <w:rFonts w:cs="Arial"/>
        </w:rPr>
      </w:pPr>
    </w:p>
    <w:p>
      <w:pPr>
        <w:pStyle w:val="16"/>
        <w:spacing w:before="156" w:beforeLines="50" w:after="156" w:afterLines="50" w:line="360" w:lineRule="auto"/>
        <w:ind w:right="720"/>
        <w:jc w:val="right"/>
        <w:rPr>
          <w:rFonts w:cs="Arial"/>
        </w:rPr>
      </w:pPr>
    </w:p>
    <w:p>
      <w:pPr>
        <w:pStyle w:val="16"/>
        <w:spacing w:before="156" w:beforeLines="50" w:after="156" w:afterLines="50" w:line="360" w:lineRule="auto"/>
        <w:ind w:right="720"/>
        <w:jc w:val="right"/>
        <w:rPr>
          <w:rFonts w:cs="Arial"/>
        </w:rPr>
      </w:pPr>
    </w:p>
    <w:p>
      <w:pPr>
        <w:pStyle w:val="16"/>
        <w:spacing w:before="156" w:beforeLines="50" w:after="156" w:afterLines="50" w:line="360" w:lineRule="auto"/>
        <w:ind w:right="720"/>
        <w:jc w:val="right"/>
        <w:rPr>
          <w:rFonts w:cs="Arial"/>
        </w:rPr>
      </w:pPr>
    </w:p>
    <w:p>
      <w:pPr>
        <w:pStyle w:val="16"/>
        <w:spacing w:before="156" w:beforeLines="50" w:after="156" w:afterLines="50" w:line="360" w:lineRule="auto"/>
        <w:ind w:right="720"/>
        <w:jc w:val="right"/>
        <w:rPr>
          <w:rFonts w:cs="Arial"/>
        </w:rPr>
      </w:pPr>
    </w:p>
    <w:p>
      <w:pPr>
        <w:spacing w:before="156" w:beforeLines="50" w:after="156" w:afterLines="50" w:line="360" w:lineRule="auto"/>
        <w:rPr>
          <w:rFonts w:ascii="Times New Roman" w:hAnsi="Times New Roman" w:cs="Arial"/>
          <w:color w:val="000000"/>
          <w:kern w:val="0"/>
          <w:sz w:val="24"/>
          <w:szCs w:val="24"/>
        </w:rPr>
      </w:pPr>
    </w:p>
    <w:p>
      <w:pPr>
        <w:spacing w:before="156" w:beforeLines="50" w:after="156" w:afterLines="50" w:line="360" w:lineRule="auto"/>
        <w:rPr>
          <w:rFonts w:ascii="Times New Roman" w:hAnsi="Times New Roman" w:cs="Arial"/>
          <w:color w:val="000000"/>
          <w:kern w:val="0"/>
          <w:sz w:val="24"/>
          <w:szCs w:val="24"/>
        </w:rPr>
      </w:pPr>
    </w:p>
    <w:p>
      <w:pPr>
        <w:spacing w:before="156" w:beforeLines="50" w:after="156" w:afterLines="50" w:line="360" w:lineRule="auto"/>
        <w:jc w:val="right"/>
        <w:rPr>
          <w:rFonts w:hint="eastAsia" w:ascii="Times New Roman" w:hAnsi="Times New Roman" w:cs="Arial"/>
          <w:kern w:val="0"/>
          <w:sz w:val="24"/>
          <w:szCs w:val="24"/>
          <w:lang w:eastAsia="zh-CN"/>
        </w:rPr>
      </w:pPr>
      <w:bookmarkStart w:id="4" w:name="_Hlk28248741"/>
      <w:r>
        <w:rPr>
          <w:rFonts w:hint="eastAsia" w:ascii="Times New Roman" w:hAnsi="Times New Roman" w:cs="Arial"/>
          <w:kern w:val="0"/>
          <w:sz w:val="24"/>
          <w:szCs w:val="24"/>
          <w:lang w:eastAsia="zh-CN"/>
        </w:rPr>
        <w:t>北京中科三环高技术股份有限公司</w:t>
      </w:r>
    </w:p>
    <w:p>
      <w:pPr>
        <w:spacing w:before="156" w:beforeLines="50" w:after="156" w:afterLines="50" w:line="360" w:lineRule="auto"/>
        <w:jc w:val="right"/>
        <w:rPr>
          <w:rFonts w:hint="eastAsia" w:ascii="Times New Roman" w:hAnsi="Times New Roman" w:cs="Arial"/>
          <w:kern w:val="0"/>
          <w:sz w:val="24"/>
          <w:szCs w:val="24"/>
          <w:lang w:eastAsia="zh-CN"/>
        </w:rPr>
      </w:pPr>
    </w:p>
    <w:p>
      <w:pPr>
        <w:jc w:val="right"/>
        <w:rPr>
          <w:rFonts w:ascii="Times New Roman" w:hAnsi="Times New Roman" w:cs="Arial"/>
          <w:color w:val="000000"/>
          <w:kern w:val="0"/>
          <w:sz w:val="24"/>
          <w:szCs w:val="24"/>
        </w:rPr>
      </w:pPr>
      <w:r>
        <w:rPr>
          <w:rFonts w:ascii="Times New Roman" w:hAnsi="Times New Roman" w:cs="Arial"/>
          <w:color w:val="000000"/>
          <w:kern w:val="0"/>
          <w:sz w:val="24"/>
          <w:szCs w:val="24"/>
        </w:rPr>
        <w:t xml:space="preserve">年   </w:t>
      </w:r>
      <w:r>
        <w:rPr>
          <w:rFonts w:hint="eastAsia" w:cs="Arial"/>
          <w:color w:val="000000"/>
          <w:kern w:val="0"/>
          <w:sz w:val="24"/>
          <w:szCs w:val="24"/>
          <w:lang w:val="en-US" w:eastAsia="zh-CN"/>
        </w:rPr>
        <w:t xml:space="preserve">  </w:t>
      </w:r>
      <w:r>
        <w:rPr>
          <w:rFonts w:ascii="Times New Roman" w:hAnsi="Times New Roman" w:cs="Arial"/>
          <w:color w:val="000000"/>
          <w:kern w:val="0"/>
          <w:sz w:val="24"/>
          <w:szCs w:val="24"/>
        </w:rPr>
        <w:t xml:space="preserve"> 月 </w:t>
      </w:r>
      <w:r>
        <w:rPr>
          <w:rFonts w:hint="eastAsia" w:cs="Arial"/>
          <w:color w:val="000000"/>
          <w:kern w:val="0"/>
          <w:sz w:val="24"/>
          <w:szCs w:val="24"/>
          <w:lang w:val="en-US" w:eastAsia="zh-CN"/>
        </w:rPr>
        <w:t xml:space="preserve">  </w:t>
      </w:r>
      <w:r>
        <w:rPr>
          <w:rFonts w:ascii="Times New Roman" w:hAnsi="Times New Roman" w:cs="Arial"/>
          <w:color w:val="000000"/>
          <w:kern w:val="0"/>
          <w:sz w:val="24"/>
          <w:szCs w:val="24"/>
        </w:rPr>
        <w:t xml:space="preserve">   日</w:t>
      </w:r>
    </w:p>
    <w:p>
      <w:pPr>
        <w:ind w:right="960"/>
        <w:rPr>
          <w:rFonts w:ascii="Times New Roman" w:hAnsi="Times New Roman" w:cs="Arial"/>
          <w:color w:val="000000"/>
          <w:kern w:val="0"/>
          <w:sz w:val="24"/>
          <w:szCs w:val="24"/>
        </w:rPr>
      </w:pPr>
      <w:r>
        <w:rPr>
          <w:rFonts w:ascii="Times New Roman" w:hAnsi="Times New Roman" w:cs="Arial"/>
          <w:color w:val="000000"/>
          <w:kern w:val="0"/>
          <w:sz w:val="24"/>
          <w:szCs w:val="24"/>
        </w:rPr>
        <w:br w:type="page"/>
      </w:r>
      <w:bookmarkEnd w:id="3"/>
      <w:bookmarkEnd w:id="4"/>
    </w:p>
    <w:p>
      <w:pPr>
        <w:spacing w:before="156" w:beforeLines="50" w:after="156" w:afterLines="50" w:line="360" w:lineRule="auto"/>
        <w:ind w:left="0" w:leftChars="0" w:firstLine="0" w:firstLineChars="0"/>
        <w:rPr>
          <w:rFonts w:ascii="Times New Roman" w:hAnsi="Times New Roman" w:cs="Arial"/>
          <w:color w:val="000000"/>
          <w:kern w:val="0"/>
          <w:sz w:val="24"/>
          <w:szCs w:val="24"/>
        </w:rPr>
      </w:pPr>
      <w:r>
        <w:drawing>
          <wp:anchor distT="0" distB="0" distL="114300" distR="114300" simplePos="0" relativeHeight="251660288" behindDoc="0" locked="0" layoutInCell="1" allowOverlap="1">
            <wp:simplePos x="0" y="0"/>
            <wp:positionH relativeFrom="column">
              <wp:posOffset>-1135380</wp:posOffset>
            </wp:positionH>
            <wp:positionV relativeFrom="paragraph">
              <wp:posOffset>-908050</wp:posOffset>
            </wp:positionV>
            <wp:extent cx="7578090" cy="10713085"/>
            <wp:effectExtent l="0" t="0" r="3810" b="571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7578090" cy="10713085"/>
                    </a:xfrm>
                    <a:prstGeom prst="rect">
                      <a:avLst/>
                    </a:prstGeom>
                    <a:noFill/>
                    <a:ln>
                      <a:noFill/>
                    </a:ln>
                  </pic:spPr>
                </pic:pic>
              </a:graphicData>
            </a:graphic>
          </wp:anchor>
        </w:drawing>
      </w:r>
      <w:r>
        <w:rPr>
          <w:rFonts w:ascii="Times New Roman" w:hAnsi="Times New Roman" w:cs="Arial"/>
          <w:color w:val="000000"/>
          <w:kern w:val="0"/>
          <w:sz w:val="24"/>
          <w:szCs w:val="24"/>
        </w:rPr>
        <w:t>（此页无正文，为</w:t>
      </w:r>
      <w:r>
        <w:rPr>
          <w:rFonts w:ascii="Times New Roman" w:hAnsi="Times New Roman" w:cs="Arial"/>
          <w:sz w:val="24"/>
          <w:szCs w:val="24"/>
        </w:rPr>
        <w:t>《</w:t>
      </w:r>
      <w:r>
        <w:rPr>
          <w:rFonts w:hint="eastAsia" w:ascii="Times New Roman" w:hAnsi="Times New Roman" w:cs="Arial"/>
          <w:kern w:val="0"/>
          <w:sz w:val="24"/>
          <w:szCs w:val="24"/>
          <w:lang w:eastAsia="zh-CN"/>
        </w:rPr>
        <w:t>北京中科三环高技术股份有限公司配股</w:t>
      </w:r>
      <w:r>
        <w:rPr>
          <w:rFonts w:hint="eastAsia" w:ascii="Times New Roman" w:hAnsi="Times New Roman" w:cs="Arial"/>
          <w:kern w:val="0"/>
          <w:sz w:val="24"/>
          <w:szCs w:val="24"/>
          <w:lang w:val="en-US" w:eastAsia="zh-CN"/>
        </w:rPr>
        <w:t>发行结果</w:t>
      </w:r>
      <w:r>
        <w:rPr>
          <w:rFonts w:hint="eastAsia" w:ascii="Times New Roman" w:hAnsi="Times New Roman" w:cs="Arial"/>
          <w:kern w:val="0"/>
          <w:sz w:val="24"/>
          <w:szCs w:val="24"/>
          <w:lang w:eastAsia="zh-CN"/>
        </w:rPr>
        <w:t>公告</w:t>
      </w:r>
      <w:r>
        <w:rPr>
          <w:rFonts w:ascii="Times New Roman" w:hAnsi="Times New Roman" w:cs="Arial"/>
          <w:sz w:val="24"/>
          <w:szCs w:val="24"/>
        </w:rPr>
        <w:t>》之</w:t>
      </w:r>
      <w:r>
        <w:rPr>
          <w:rFonts w:ascii="Times New Roman" w:hAnsi="Times New Roman" w:cs="Arial"/>
          <w:color w:val="000000"/>
          <w:kern w:val="0"/>
          <w:sz w:val="24"/>
          <w:szCs w:val="24"/>
        </w:rPr>
        <w:t>盖章页）</w:t>
      </w:r>
    </w:p>
    <w:p>
      <w:pPr>
        <w:spacing w:before="156" w:beforeLines="50" w:after="156" w:afterLines="50" w:line="360" w:lineRule="auto"/>
        <w:rPr>
          <w:rFonts w:ascii="Times New Roman" w:hAnsi="Times New Roman" w:cs="Arial"/>
          <w:color w:val="000000"/>
          <w:kern w:val="0"/>
          <w:sz w:val="24"/>
          <w:szCs w:val="24"/>
        </w:rPr>
      </w:pPr>
    </w:p>
    <w:p>
      <w:pPr>
        <w:spacing w:before="156" w:beforeLines="50" w:after="156" w:afterLines="50" w:line="360" w:lineRule="auto"/>
        <w:rPr>
          <w:rFonts w:ascii="Times New Roman" w:hAnsi="Times New Roman" w:cs="Arial"/>
          <w:color w:val="000000"/>
          <w:kern w:val="0"/>
          <w:sz w:val="24"/>
          <w:szCs w:val="24"/>
        </w:rPr>
      </w:pPr>
    </w:p>
    <w:p>
      <w:pPr>
        <w:spacing w:before="156" w:beforeLines="50" w:after="156" w:afterLines="50" w:line="360" w:lineRule="auto"/>
        <w:rPr>
          <w:rFonts w:ascii="Times New Roman" w:hAnsi="Times New Roman" w:cs="Arial"/>
          <w:color w:val="000000"/>
          <w:kern w:val="0"/>
          <w:sz w:val="24"/>
          <w:szCs w:val="24"/>
        </w:rPr>
      </w:pPr>
    </w:p>
    <w:p>
      <w:pPr>
        <w:spacing w:before="156" w:beforeLines="50" w:after="156" w:afterLines="50" w:line="360" w:lineRule="auto"/>
        <w:rPr>
          <w:rFonts w:ascii="Times New Roman" w:hAnsi="Times New Roman" w:cs="Arial"/>
          <w:color w:val="000000"/>
          <w:kern w:val="0"/>
          <w:sz w:val="24"/>
          <w:szCs w:val="24"/>
        </w:rPr>
      </w:pPr>
    </w:p>
    <w:p>
      <w:pPr>
        <w:spacing w:before="156" w:beforeLines="50" w:after="156" w:afterLines="50" w:line="360" w:lineRule="auto"/>
        <w:rPr>
          <w:rFonts w:ascii="Times New Roman" w:hAnsi="Times New Roman" w:cs="Arial"/>
          <w:color w:val="000000"/>
          <w:kern w:val="0"/>
          <w:sz w:val="24"/>
          <w:szCs w:val="24"/>
        </w:rPr>
      </w:pPr>
    </w:p>
    <w:p>
      <w:pPr>
        <w:spacing w:before="156" w:beforeLines="50" w:after="156" w:afterLines="50" w:line="360" w:lineRule="auto"/>
        <w:rPr>
          <w:rFonts w:ascii="Times New Roman" w:hAnsi="Times New Roman" w:cs="Arial"/>
          <w:color w:val="000000"/>
          <w:kern w:val="0"/>
          <w:sz w:val="24"/>
          <w:szCs w:val="24"/>
        </w:rPr>
      </w:pPr>
    </w:p>
    <w:p>
      <w:pPr>
        <w:spacing w:before="156" w:beforeLines="50" w:after="156" w:afterLines="50" w:line="360" w:lineRule="auto"/>
        <w:rPr>
          <w:rFonts w:ascii="Times New Roman" w:hAnsi="Times New Roman" w:cs="Arial"/>
          <w:color w:val="000000"/>
          <w:kern w:val="0"/>
          <w:sz w:val="24"/>
          <w:szCs w:val="24"/>
        </w:rPr>
      </w:pPr>
    </w:p>
    <w:p>
      <w:pPr>
        <w:spacing w:before="156" w:beforeLines="50" w:after="156" w:afterLines="50" w:line="360" w:lineRule="auto"/>
        <w:rPr>
          <w:rFonts w:ascii="Times New Roman" w:hAnsi="Times New Roman" w:cs="Arial"/>
          <w:color w:val="000000"/>
          <w:kern w:val="0"/>
          <w:sz w:val="24"/>
          <w:szCs w:val="24"/>
        </w:rPr>
      </w:pPr>
    </w:p>
    <w:p>
      <w:pPr>
        <w:spacing w:before="156" w:beforeLines="50" w:after="156" w:afterLines="50" w:line="360" w:lineRule="auto"/>
        <w:ind w:left="0" w:leftChars="0" w:firstLine="0" w:firstLineChars="0"/>
        <w:rPr>
          <w:rFonts w:ascii="Times New Roman" w:hAnsi="Times New Roman" w:cs="Arial"/>
          <w:color w:val="000000"/>
          <w:kern w:val="0"/>
          <w:sz w:val="24"/>
          <w:szCs w:val="24"/>
        </w:rPr>
      </w:pPr>
    </w:p>
    <w:p>
      <w:pPr>
        <w:spacing w:before="156" w:beforeLines="50" w:after="156" w:afterLines="50" w:line="360" w:lineRule="auto"/>
        <w:jc w:val="right"/>
        <w:rPr>
          <w:rFonts w:hint="eastAsia" w:ascii="Times New Roman" w:hAnsi="Times New Roman" w:cs="Arial"/>
          <w:color w:val="000000"/>
          <w:kern w:val="0"/>
          <w:sz w:val="24"/>
          <w:szCs w:val="24"/>
          <w:lang w:eastAsia="zh-CN"/>
        </w:rPr>
      </w:pPr>
      <w:r>
        <w:rPr>
          <w:rFonts w:hint="eastAsia" w:ascii="Times New Roman" w:hAnsi="Times New Roman" w:cs="Arial"/>
          <w:color w:val="000000"/>
          <w:kern w:val="0"/>
          <w:sz w:val="24"/>
          <w:szCs w:val="24"/>
          <w:lang w:eastAsia="zh-CN"/>
        </w:rPr>
        <w:t>国金证券股份有限公司</w:t>
      </w:r>
    </w:p>
    <w:p>
      <w:pPr>
        <w:spacing w:before="156" w:beforeLines="50" w:after="156" w:afterLines="50" w:line="360" w:lineRule="auto"/>
        <w:jc w:val="right"/>
        <w:rPr>
          <w:rFonts w:hint="eastAsia" w:ascii="Times New Roman" w:hAnsi="Times New Roman" w:cs="Arial"/>
          <w:color w:val="000000"/>
          <w:kern w:val="0"/>
          <w:sz w:val="24"/>
          <w:szCs w:val="24"/>
          <w:lang w:eastAsia="zh-CN"/>
        </w:rPr>
      </w:pPr>
    </w:p>
    <w:p>
      <w:pPr>
        <w:wordWrap w:val="0"/>
        <w:spacing w:before="156" w:beforeLines="50" w:after="156" w:afterLines="50" w:line="360" w:lineRule="auto"/>
        <w:jc w:val="right"/>
        <w:rPr>
          <w:rFonts w:ascii="Times New Roman" w:hAnsi="Times New Roman" w:cs="Arial"/>
          <w:color w:val="000000"/>
          <w:kern w:val="0"/>
          <w:sz w:val="24"/>
          <w:szCs w:val="24"/>
        </w:rPr>
      </w:pPr>
      <w:r>
        <w:rPr>
          <w:rFonts w:hint="eastAsia" w:cs="Arial"/>
          <w:color w:val="000000"/>
          <w:kern w:val="0"/>
          <w:sz w:val="24"/>
          <w:szCs w:val="24"/>
          <w:lang w:val="en-US" w:eastAsia="zh-CN"/>
        </w:rPr>
        <w:t xml:space="preserve">  </w:t>
      </w:r>
      <w:r>
        <w:rPr>
          <w:rFonts w:ascii="Times New Roman" w:hAnsi="Times New Roman" w:cs="Arial"/>
          <w:color w:val="000000"/>
          <w:kern w:val="0"/>
          <w:sz w:val="24"/>
          <w:szCs w:val="24"/>
        </w:rPr>
        <w:t xml:space="preserve">年  </w:t>
      </w:r>
      <w:r>
        <w:rPr>
          <w:rFonts w:hint="eastAsia" w:cs="Arial"/>
          <w:color w:val="000000"/>
          <w:kern w:val="0"/>
          <w:sz w:val="24"/>
          <w:szCs w:val="24"/>
          <w:lang w:val="en-US" w:eastAsia="zh-CN"/>
        </w:rPr>
        <w:t xml:space="preserve"> </w:t>
      </w:r>
      <w:r>
        <w:rPr>
          <w:rFonts w:ascii="Times New Roman" w:hAnsi="Times New Roman" w:cs="Arial"/>
          <w:color w:val="000000"/>
          <w:kern w:val="0"/>
          <w:sz w:val="24"/>
          <w:szCs w:val="24"/>
        </w:rPr>
        <w:t xml:space="preserve">  月  </w:t>
      </w:r>
      <w:r>
        <w:rPr>
          <w:rFonts w:hint="eastAsia" w:cs="Arial"/>
          <w:color w:val="000000"/>
          <w:kern w:val="0"/>
          <w:sz w:val="24"/>
          <w:szCs w:val="24"/>
          <w:lang w:val="en-US" w:eastAsia="zh-CN"/>
        </w:rPr>
        <w:t xml:space="preserve">  </w:t>
      </w:r>
      <w:r>
        <w:rPr>
          <w:rFonts w:ascii="Times New Roman" w:hAnsi="Times New Roman" w:cs="Arial"/>
          <w:color w:val="000000"/>
          <w:kern w:val="0"/>
          <w:sz w:val="24"/>
          <w:szCs w:val="24"/>
        </w:rPr>
        <w:t xml:space="preserve"> 日</w:t>
      </w:r>
    </w:p>
    <w:p>
      <w:pPr>
        <w:widowControl/>
        <w:jc w:val="left"/>
        <w:rPr>
          <w:rFonts w:ascii="Times New Roman" w:hAnsi="Times New Roman" w:cs="Arial"/>
        </w:rPr>
      </w:pPr>
    </w:p>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9945252"/>
      <w:docPartObj>
        <w:docPartGallery w:val="autotext"/>
      </w:docPartObj>
    </w:sdtPr>
    <w:sdtContent>
      <w:p>
        <w:pPr>
          <w:pStyle w:val="6"/>
          <w:jc w:val="center"/>
        </w:pPr>
        <w:r>
          <w:fldChar w:fldCharType="begin"/>
        </w:r>
        <w:r>
          <w:instrText xml:space="preserve">PAGE   \* MERGEFORMAT</w:instrText>
        </w:r>
        <w:r>
          <w:fldChar w:fldCharType="separate"/>
        </w:r>
        <w:r>
          <w:rPr>
            <w:lang w:val="zh-CN"/>
          </w:rPr>
          <w:t>6</w:t>
        </w:r>
        <w:r>
          <w:fldChar w:fldCharType="end"/>
        </w:r>
      </w:p>
    </w:sdtContent>
  </w:sdt>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__Grammarly_42____i" w:val="H4sIAAAAAAAEAKtWckksSQxILCpxzi/NK1GyMqwFAAEhoTITAAAA"/>
    <w:docVar w:name="__Grammarly_42___1" w:val="H4sIAAAAAAAEAKtWcslP9kxRslIyNDYyMzEwMzI1Mbc0MjA1MDVW0lEKTi0uzszPAykwqgUAfGtFwSwAAAA="/>
  </w:docVars>
  <w:rsids>
    <w:rsidRoot w:val="00172A27"/>
    <w:rsid w:val="00001814"/>
    <w:rsid w:val="00031BFF"/>
    <w:rsid w:val="000447B9"/>
    <w:rsid w:val="000C44CA"/>
    <w:rsid w:val="000C57CE"/>
    <w:rsid w:val="000D5AB5"/>
    <w:rsid w:val="000E3F26"/>
    <w:rsid w:val="00100EA9"/>
    <w:rsid w:val="00114AA8"/>
    <w:rsid w:val="001578AE"/>
    <w:rsid w:val="00163042"/>
    <w:rsid w:val="001A4A4B"/>
    <w:rsid w:val="001A6C41"/>
    <w:rsid w:val="001B0C9D"/>
    <w:rsid w:val="001E764B"/>
    <w:rsid w:val="001F318A"/>
    <w:rsid w:val="001F79D2"/>
    <w:rsid w:val="00204BD3"/>
    <w:rsid w:val="00206C8F"/>
    <w:rsid w:val="0021573D"/>
    <w:rsid w:val="0022415C"/>
    <w:rsid w:val="0026467B"/>
    <w:rsid w:val="002A650C"/>
    <w:rsid w:val="002A7E67"/>
    <w:rsid w:val="002D7022"/>
    <w:rsid w:val="00303256"/>
    <w:rsid w:val="00306469"/>
    <w:rsid w:val="003327B4"/>
    <w:rsid w:val="00337E97"/>
    <w:rsid w:val="003649F7"/>
    <w:rsid w:val="003846DB"/>
    <w:rsid w:val="003916A2"/>
    <w:rsid w:val="003E69A0"/>
    <w:rsid w:val="00430066"/>
    <w:rsid w:val="00465934"/>
    <w:rsid w:val="004701DD"/>
    <w:rsid w:val="0048091D"/>
    <w:rsid w:val="00494AF2"/>
    <w:rsid w:val="004E146B"/>
    <w:rsid w:val="00507415"/>
    <w:rsid w:val="00521EB1"/>
    <w:rsid w:val="0053430F"/>
    <w:rsid w:val="005475AA"/>
    <w:rsid w:val="00563817"/>
    <w:rsid w:val="005638E5"/>
    <w:rsid w:val="00573020"/>
    <w:rsid w:val="005B216D"/>
    <w:rsid w:val="005D0613"/>
    <w:rsid w:val="005E198E"/>
    <w:rsid w:val="005F2EA0"/>
    <w:rsid w:val="0062023A"/>
    <w:rsid w:val="00626102"/>
    <w:rsid w:val="00635D2C"/>
    <w:rsid w:val="0064709E"/>
    <w:rsid w:val="00650C23"/>
    <w:rsid w:val="00660C8C"/>
    <w:rsid w:val="006625CC"/>
    <w:rsid w:val="00694B14"/>
    <w:rsid w:val="006C467C"/>
    <w:rsid w:val="006D5B89"/>
    <w:rsid w:val="006E566F"/>
    <w:rsid w:val="006F5D07"/>
    <w:rsid w:val="007013A9"/>
    <w:rsid w:val="0070647A"/>
    <w:rsid w:val="007224CA"/>
    <w:rsid w:val="00723E35"/>
    <w:rsid w:val="007442F1"/>
    <w:rsid w:val="0076487D"/>
    <w:rsid w:val="007717E6"/>
    <w:rsid w:val="007B37EB"/>
    <w:rsid w:val="007C2D0D"/>
    <w:rsid w:val="007D169A"/>
    <w:rsid w:val="007F0CE7"/>
    <w:rsid w:val="007F60A8"/>
    <w:rsid w:val="00807222"/>
    <w:rsid w:val="008074C6"/>
    <w:rsid w:val="00841CC4"/>
    <w:rsid w:val="00853AAD"/>
    <w:rsid w:val="00855D34"/>
    <w:rsid w:val="00861E94"/>
    <w:rsid w:val="00876A79"/>
    <w:rsid w:val="00882500"/>
    <w:rsid w:val="00885134"/>
    <w:rsid w:val="0088715B"/>
    <w:rsid w:val="008A2B24"/>
    <w:rsid w:val="008B2B5D"/>
    <w:rsid w:val="008B5A74"/>
    <w:rsid w:val="008E3DC3"/>
    <w:rsid w:val="008F031B"/>
    <w:rsid w:val="008F096D"/>
    <w:rsid w:val="00907AF5"/>
    <w:rsid w:val="009360D9"/>
    <w:rsid w:val="00957E89"/>
    <w:rsid w:val="00961345"/>
    <w:rsid w:val="00970F24"/>
    <w:rsid w:val="00997CCB"/>
    <w:rsid w:val="009B3902"/>
    <w:rsid w:val="009B41D3"/>
    <w:rsid w:val="009C42BF"/>
    <w:rsid w:val="009C622C"/>
    <w:rsid w:val="009F57A7"/>
    <w:rsid w:val="00A145DB"/>
    <w:rsid w:val="00A20355"/>
    <w:rsid w:val="00A221E7"/>
    <w:rsid w:val="00A375A8"/>
    <w:rsid w:val="00A46848"/>
    <w:rsid w:val="00A77E9D"/>
    <w:rsid w:val="00A85E97"/>
    <w:rsid w:val="00AA2802"/>
    <w:rsid w:val="00AD34F9"/>
    <w:rsid w:val="00AE0295"/>
    <w:rsid w:val="00AE262F"/>
    <w:rsid w:val="00BB7B5A"/>
    <w:rsid w:val="00BC65EC"/>
    <w:rsid w:val="00BC6CF4"/>
    <w:rsid w:val="00BD479A"/>
    <w:rsid w:val="00C02D2E"/>
    <w:rsid w:val="00C16DCD"/>
    <w:rsid w:val="00C17C50"/>
    <w:rsid w:val="00C369C6"/>
    <w:rsid w:val="00C50E2D"/>
    <w:rsid w:val="00CA0A91"/>
    <w:rsid w:val="00CC2AC6"/>
    <w:rsid w:val="00CC2FE2"/>
    <w:rsid w:val="00CC67D3"/>
    <w:rsid w:val="00CD79B7"/>
    <w:rsid w:val="00CF7382"/>
    <w:rsid w:val="00D0596F"/>
    <w:rsid w:val="00D25425"/>
    <w:rsid w:val="00D26003"/>
    <w:rsid w:val="00D3467A"/>
    <w:rsid w:val="00D352B2"/>
    <w:rsid w:val="00D94A0A"/>
    <w:rsid w:val="00DA5ABA"/>
    <w:rsid w:val="00DD4961"/>
    <w:rsid w:val="00E04CD7"/>
    <w:rsid w:val="00E61441"/>
    <w:rsid w:val="00E82620"/>
    <w:rsid w:val="00E85AD6"/>
    <w:rsid w:val="00E97F70"/>
    <w:rsid w:val="00EE5623"/>
    <w:rsid w:val="00EF1FBF"/>
    <w:rsid w:val="00F0418A"/>
    <w:rsid w:val="00F14802"/>
    <w:rsid w:val="00F3478C"/>
    <w:rsid w:val="00F440F8"/>
    <w:rsid w:val="00F61E79"/>
    <w:rsid w:val="00FB035E"/>
    <w:rsid w:val="00FC788E"/>
    <w:rsid w:val="00FE4223"/>
    <w:rsid w:val="039D2E96"/>
    <w:rsid w:val="06E74708"/>
    <w:rsid w:val="0B436CFD"/>
    <w:rsid w:val="0C1F0CD1"/>
    <w:rsid w:val="1183682A"/>
    <w:rsid w:val="12DF7662"/>
    <w:rsid w:val="178845D9"/>
    <w:rsid w:val="1AFC25FF"/>
    <w:rsid w:val="1B960796"/>
    <w:rsid w:val="34BC41E6"/>
    <w:rsid w:val="351B4B16"/>
    <w:rsid w:val="37B84CD3"/>
    <w:rsid w:val="451A635D"/>
    <w:rsid w:val="49DF1059"/>
    <w:rsid w:val="4AA77D45"/>
    <w:rsid w:val="52E72D0C"/>
    <w:rsid w:val="5BF61BDB"/>
    <w:rsid w:val="5D3F0336"/>
    <w:rsid w:val="5D843038"/>
    <w:rsid w:val="60261E73"/>
    <w:rsid w:val="61142D32"/>
    <w:rsid w:val="61CE0959"/>
    <w:rsid w:val="63AB442E"/>
    <w:rsid w:val="63F75386"/>
    <w:rsid w:val="6AEF5A93"/>
    <w:rsid w:val="6DB51CC7"/>
    <w:rsid w:val="73885F0E"/>
    <w:rsid w:val="768673D9"/>
    <w:rsid w:val="78991CB3"/>
    <w:rsid w:val="7C5B594D"/>
    <w:rsid w:val="7D23713D"/>
    <w:rsid w:val="7E7246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50" w:beforeLines="50" w:after="50" w:afterLines="50" w:line="360" w:lineRule="auto"/>
      <w:ind w:firstLine="482"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9"/>
    <w:pPr>
      <w:keepNext/>
      <w:keepLines/>
      <w:spacing w:beforeLines="50" w:afterLines="50" w:line="360" w:lineRule="auto"/>
      <w:ind w:firstLine="0" w:firstLineChars="0"/>
      <w:outlineLvl w:val="0"/>
    </w:pPr>
    <w:rPr>
      <w:rFonts w:eastAsia="黑体" w:cs="Times New Roman"/>
      <w:b/>
      <w:bCs/>
      <w:kern w:val="44"/>
      <w:sz w:val="28"/>
      <w:szCs w:val="44"/>
    </w:rPr>
  </w:style>
  <w:style w:type="paragraph" w:styleId="3">
    <w:name w:val="heading 2"/>
    <w:basedOn w:val="1"/>
    <w:next w:val="1"/>
    <w:unhideWhenUsed/>
    <w:qFormat/>
    <w:uiPriority w:val="9"/>
    <w:pPr>
      <w:keepNext/>
      <w:keepLines/>
      <w:widowControl w:val="0"/>
      <w:spacing w:before="260" w:after="260" w:line="360" w:lineRule="auto"/>
      <w:jc w:val="both"/>
      <w:outlineLvl w:val="1"/>
    </w:pPr>
    <w:rPr>
      <w:rFonts w:ascii="Times New Roman" w:hAnsi="Times New Roman"/>
      <w:b/>
      <w:bCs/>
      <w:szCs w:val="24"/>
    </w:rPr>
  </w:style>
  <w:style w:type="paragraph" w:styleId="4">
    <w:name w:val="heading 5"/>
    <w:basedOn w:val="1"/>
    <w:next w:val="1"/>
    <w:link w:val="18"/>
    <w:qFormat/>
    <w:uiPriority w:val="9"/>
    <w:pPr>
      <w:widowControl/>
      <w:spacing w:before="100" w:beforeAutospacing="1" w:after="100" w:afterAutospacing="1"/>
      <w:jc w:val="left"/>
      <w:outlineLvl w:val="4"/>
    </w:pPr>
    <w:rPr>
      <w:rFonts w:ascii="宋体" w:hAnsi="宋体" w:cs="宋体"/>
      <w:b/>
      <w:bCs/>
      <w:kern w:val="0"/>
      <w:sz w:val="20"/>
      <w:szCs w:val="20"/>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footer"/>
    <w:basedOn w:val="1"/>
    <w:link w:val="13"/>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table" w:styleId="10">
    <w:name w:val="Table Grid"/>
    <w:basedOn w:val="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2">
    <w:name w:val="Hyperlink"/>
    <w:basedOn w:val="11"/>
    <w:unhideWhenUsed/>
    <w:qFormat/>
    <w:uiPriority w:val="99"/>
    <w:rPr>
      <w:color w:val="0000FF" w:themeColor="hyperlink"/>
      <w:u w:val="single"/>
    </w:rPr>
  </w:style>
  <w:style w:type="character" w:customStyle="1" w:styleId="13">
    <w:name w:val="页脚 字符"/>
    <w:link w:val="6"/>
    <w:qFormat/>
    <w:uiPriority w:val="99"/>
    <w:rPr>
      <w:sz w:val="18"/>
      <w:szCs w:val="18"/>
    </w:rPr>
  </w:style>
  <w:style w:type="character" w:customStyle="1" w:styleId="14">
    <w:name w:val="页脚 Char"/>
    <w:basedOn w:val="11"/>
    <w:semiHidden/>
    <w:qFormat/>
    <w:uiPriority w:val="99"/>
    <w:rPr>
      <w:rFonts w:ascii="Calibri" w:hAnsi="Calibri" w:eastAsia="宋体" w:cs="Times New Roman"/>
      <w:sz w:val="18"/>
      <w:szCs w:val="18"/>
    </w:rPr>
  </w:style>
  <w:style w:type="paragraph" w:customStyle="1" w:styleId="15">
    <w:name w:val="康美4"/>
    <w:basedOn w:val="1"/>
    <w:qFormat/>
    <w:uiPriority w:val="0"/>
    <w:pPr>
      <w:adjustRightInd w:val="0"/>
      <w:spacing w:beforeLines="50" w:afterLines="50" w:line="360" w:lineRule="auto"/>
      <w:ind w:firstLine="480" w:firstLineChars="200"/>
      <w:textAlignment w:val="baseline"/>
    </w:pPr>
    <w:rPr>
      <w:rFonts w:ascii="Times New Roman" w:hAnsi="Times New Roman"/>
      <w:sz w:val="24"/>
      <w:szCs w:val="24"/>
    </w:rPr>
  </w:style>
  <w:style w:type="paragraph" w:customStyle="1" w:styleId="16">
    <w:name w:val="Default"/>
    <w:qFormat/>
    <w:uiPriority w:val="0"/>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character" w:customStyle="1" w:styleId="17">
    <w:name w:val="页眉 字符"/>
    <w:basedOn w:val="11"/>
    <w:link w:val="7"/>
    <w:qFormat/>
    <w:uiPriority w:val="99"/>
    <w:rPr>
      <w:rFonts w:ascii="Calibri" w:hAnsi="Calibri" w:eastAsia="宋体" w:cs="Times New Roman"/>
      <w:sz w:val="18"/>
      <w:szCs w:val="18"/>
    </w:rPr>
  </w:style>
  <w:style w:type="character" w:customStyle="1" w:styleId="18">
    <w:name w:val="标题 5 字符"/>
    <w:basedOn w:val="11"/>
    <w:link w:val="4"/>
    <w:qFormat/>
    <w:uiPriority w:val="9"/>
    <w:rPr>
      <w:rFonts w:ascii="宋体" w:hAnsi="宋体" w:eastAsia="宋体" w:cs="宋体"/>
      <w:b/>
      <w:bCs/>
      <w:kern w:val="0"/>
      <w:sz w:val="20"/>
      <w:szCs w:val="20"/>
    </w:rPr>
  </w:style>
  <w:style w:type="paragraph" w:customStyle="1" w:styleId="19">
    <w:name w:val="009单位"/>
    <w:basedOn w:val="20"/>
    <w:qFormat/>
    <w:uiPriority w:val="0"/>
    <w:pPr>
      <w:keepNext/>
      <w:spacing w:line="240" w:lineRule="auto"/>
      <w:ind w:firstLine="0" w:firstLineChars="0"/>
      <w:jc w:val="right"/>
    </w:pPr>
    <w:rPr>
      <w:sz w:val="18"/>
    </w:rPr>
  </w:style>
  <w:style w:type="paragraph" w:customStyle="1" w:styleId="20">
    <w:name w:val="005正文"/>
    <w:basedOn w:val="1"/>
    <w:qFormat/>
    <w:uiPriority w:val="0"/>
    <w:pPr>
      <w:adjustRightInd w:val="0"/>
      <w:snapToGrid w:val="0"/>
      <w:spacing w:line="360" w:lineRule="auto"/>
      <w:ind w:firstLine="200" w:firstLineChars="200"/>
    </w:pPr>
    <w:rPr>
      <w:rFonts w:ascii="Arial" w:hAnsi="Arial"/>
      <w:sz w:val="24"/>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00FF37-B1CA-4F72-9611-EAEC016FD917}">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9</Pages>
  <Words>673</Words>
  <Characters>3839</Characters>
  <Lines>31</Lines>
  <Paragraphs>9</Paragraphs>
  <TotalTime>14</TotalTime>
  <ScaleCrop>false</ScaleCrop>
  <LinksUpToDate>false</LinksUpToDate>
  <CharactersWithSpaces>4503</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2020-11-04T03:12:00Z</dcterms:created>
  <dc:creator>高修远</dc:creator>
  <cp:lastModifiedBy>张思佳</cp:lastModifiedBy>
  <dcterms:modified xsi:type="dcterms:W3CDTF">2022-02-23T02:28:07Z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B752419246CA4E66BC89B9F84888658D</vt:lpwstr>
  </property>
</Properties>
</file>