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left="0" w:leftChars="0" w:firstLine="0" w:firstLineChars="0"/>
        <w:jc w:val="left"/>
        <w:rPr>
          <w:rFonts w:hint="default" w:ascii="Times New Roman" w:hAnsi="Times New Roman" w:eastAsia="宋体" w:cs="Arial"/>
          <w:b/>
          <w:kern w:val="0"/>
          <w:sz w:val="24"/>
          <w:lang w:val="en-US" w:eastAsia="zh-CN"/>
        </w:rPr>
      </w:pPr>
      <w:r>
        <w:rPr>
          <w:rFonts w:ascii="Times New Roman" w:hAnsi="Times New Roman" w:cs="Arial"/>
          <w:b/>
          <w:kern w:val="0"/>
          <w:sz w:val="24"/>
        </w:rPr>
        <w:t>证券代码：</w:t>
      </w:r>
      <w:r>
        <w:rPr>
          <w:rFonts w:hint="eastAsia" w:ascii="Times New Roman" w:hAnsi="Times New Roman" w:cs="Arial"/>
          <w:b/>
          <w:kern w:val="0"/>
          <w:sz w:val="24"/>
        </w:rPr>
        <w:t>000970</w:t>
      </w:r>
      <w:r>
        <w:rPr>
          <w:rFonts w:ascii="Times New Roman" w:hAnsi="Times New Roman" w:cs="Arial"/>
          <w:b/>
          <w:kern w:val="0"/>
          <w:sz w:val="24"/>
        </w:rPr>
        <w:t xml:space="preserve">    </w:t>
      </w:r>
      <w:r>
        <w:rPr>
          <w:rFonts w:hint="eastAsia" w:cs="Arial"/>
          <w:b/>
          <w:kern w:val="0"/>
          <w:sz w:val="24"/>
          <w:lang w:val="en-US" w:eastAsia="zh-CN"/>
        </w:rPr>
        <w:t xml:space="preserve"> </w:t>
      </w:r>
      <w:r>
        <w:rPr>
          <w:rFonts w:ascii="Times New Roman" w:hAnsi="Times New Roman" w:cs="Arial"/>
          <w:b/>
          <w:kern w:val="0"/>
          <w:sz w:val="24"/>
        </w:rPr>
        <w:t xml:space="preserve">  </w:t>
      </w:r>
      <w:r>
        <w:rPr>
          <w:rFonts w:hint="eastAsia" w:ascii="Times New Roman" w:hAnsi="Times New Roman" w:cs="Arial"/>
          <w:b/>
          <w:kern w:val="0"/>
          <w:sz w:val="24"/>
          <w:lang w:val="en-US" w:eastAsia="zh-CN"/>
        </w:rPr>
        <w:t xml:space="preserve">  </w:t>
      </w:r>
      <w:r>
        <w:rPr>
          <w:rFonts w:ascii="Times New Roman" w:hAnsi="Times New Roman" w:cs="Arial"/>
          <w:b/>
          <w:kern w:val="0"/>
          <w:sz w:val="24"/>
        </w:rPr>
        <w:t>证券简称：</w:t>
      </w:r>
      <w:r>
        <w:rPr>
          <w:rFonts w:hint="eastAsia" w:ascii="Times New Roman" w:hAnsi="Times New Roman" w:cs="Arial"/>
          <w:b/>
          <w:kern w:val="0"/>
          <w:sz w:val="24"/>
          <w:lang w:eastAsia="zh-CN"/>
        </w:rPr>
        <w:t>中科三环</w:t>
      </w:r>
      <w:r>
        <w:rPr>
          <w:rFonts w:ascii="Times New Roman" w:hAnsi="Times New Roman" w:cs="Arial"/>
          <w:b/>
          <w:kern w:val="0"/>
          <w:sz w:val="24"/>
        </w:rPr>
        <w:t xml:space="preserve">   </w:t>
      </w:r>
      <w:r>
        <w:rPr>
          <w:rFonts w:hint="eastAsia" w:ascii="Times New Roman" w:hAnsi="Times New Roman" w:cs="Arial"/>
          <w:b/>
          <w:kern w:val="0"/>
          <w:sz w:val="24"/>
          <w:lang w:val="en-US" w:eastAsia="zh-CN"/>
        </w:rPr>
        <w:t xml:space="preserve"> </w:t>
      </w:r>
      <w:r>
        <w:rPr>
          <w:rFonts w:hint="eastAsia" w:cs="Arial"/>
          <w:b/>
          <w:kern w:val="0"/>
          <w:sz w:val="24"/>
          <w:lang w:val="en-US" w:eastAsia="zh-CN"/>
        </w:rPr>
        <w:t xml:space="preserve"> </w:t>
      </w:r>
      <w:r>
        <w:rPr>
          <w:rFonts w:ascii="Times New Roman" w:hAnsi="Times New Roman" w:cs="Arial"/>
          <w:b/>
          <w:kern w:val="0"/>
          <w:sz w:val="24"/>
        </w:rPr>
        <w:t xml:space="preserve"> </w:t>
      </w:r>
      <w:r>
        <w:rPr>
          <w:rFonts w:hint="eastAsia" w:ascii="Times New Roman" w:hAnsi="Times New Roman" w:cs="Arial"/>
          <w:b/>
          <w:kern w:val="0"/>
          <w:sz w:val="24"/>
          <w:lang w:val="en-US" w:eastAsia="zh-CN"/>
        </w:rPr>
        <w:t xml:space="preserve"> </w:t>
      </w:r>
      <w:r>
        <w:rPr>
          <w:rFonts w:ascii="Times New Roman" w:hAnsi="Times New Roman" w:cs="Arial"/>
          <w:b/>
          <w:kern w:val="0"/>
          <w:sz w:val="24"/>
        </w:rPr>
        <w:t xml:space="preserve"> 公告编号：</w:t>
      </w:r>
      <w:r>
        <w:rPr>
          <w:rFonts w:hint="eastAsia" w:cs="Arial"/>
          <w:b/>
          <w:kern w:val="0"/>
          <w:sz w:val="24"/>
          <w:lang w:val="en-US" w:eastAsia="zh-CN"/>
        </w:rPr>
        <w:t>2022-006</w:t>
      </w:r>
    </w:p>
    <w:p>
      <w:pPr>
        <w:pStyle w:val="16"/>
        <w:keepNext w:val="0"/>
        <w:keepLines w:val="0"/>
        <w:pageBreakBefore w:val="0"/>
        <w:widowControl w:val="0"/>
        <w:kinsoku/>
        <w:wordWrap/>
        <w:overflowPunct/>
        <w:topLinePunct w:val="0"/>
        <w:autoSpaceDE w:val="0"/>
        <w:autoSpaceDN w:val="0"/>
        <w:bidi w:val="0"/>
        <w:adjustRightInd w:val="0"/>
        <w:snapToGrid/>
        <w:spacing w:before="287" w:beforeLines="100" w:line="360" w:lineRule="auto"/>
        <w:jc w:val="center"/>
        <w:textAlignment w:val="auto"/>
        <w:rPr>
          <w:rFonts w:hint="eastAsia" w:ascii="黑体" w:hAnsi="黑体" w:eastAsia="黑体" w:cs="黑体"/>
          <w:b/>
          <w:color w:val="FF0000"/>
          <w:sz w:val="32"/>
          <w:szCs w:val="32"/>
          <w:lang w:eastAsia="zh-CN"/>
        </w:rPr>
      </w:pPr>
      <w:r>
        <w:rPr>
          <w:rFonts w:hint="eastAsia" w:ascii="黑体" w:hAnsi="黑体" w:eastAsia="黑体" w:cs="黑体"/>
          <w:b/>
          <w:color w:val="FF0000"/>
          <w:sz w:val="32"/>
          <w:szCs w:val="32"/>
          <w:lang w:eastAsia="zh-CN"/>
        </w:rPr>
        <w:t>北京中科三环高技术股份有限公司</w:t>
      </w:r>
    </w:p>
    <w:p>
      <w:pPr>
        <w:pStyle w:val="16"/>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color w:val="FF0000"/>
          <w:sz w:val="32"/>
          <w:szCs w:val="32"/>
          <w:lang w:eastAsia="zh-CN"/>
        </w:rPr>
      </w:pPr>
      <w:r>
        <w:rPr>
          <w:rFonts w:hint="eastAsia" w:ascii="黑体" w:hAnsi="黑体" w:eastAsia="黑体" w:cs="黑体"/>
          <w:b/>
          <w:color w:val="FF0000"/>
          <w:sz w:val="32"/>
          <w:szCs w:val="32"/>
          <w:lang w:eastAsia="zh-CN"/>
        </w:rPr>
        <w:t>配股提示性公告</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360" w:lineRule="auto"/>
        <w:ind w:firstLine="0" w:firstLineChars="0"/>
        <w:jc w:val="center"/>
        <w:textAlignment w:val="auto"/>
        <w:rPr>
          <w:rFonts w:hint="eastAsia" w:ascii="黑体" w:hAnsi="黑体" w:eastAsia="黑体" w:cs="黑体"/>
          <w:b/>
          <w:color w:val="FF0000"/>
          <w:kern w:val="0"/>
          <w:sz w:val="24"/>
          <w:szCs w:val="24"/>
          <w:lang w:eastAsia="zh-CN"/>
        </w:rPr>
      </w:pPr>
      <w:r>
        <w:rPr>
          <w:rFonts w:hint="eastAsia" w:ascii="黑体" w:hAnsi="黑体" w:eastAsia="黑体" w:cs="黑体"/>
          <w:b/>
          <w:color w:val="FF0000"/>
          <w:kern w:val="0"/>
          <w:sz w:val="24"/>
          <w:szCs w:val="24"/>
        </w:rPr>
        <w:t>保荐机构（主承销商）：</w:t>
      </w:r>
      <w:r>
        <w:rPr>
          <w:rFonts w:hint="eastAsia" w:ascii="黑体" w:hAnsi="黑体" w:eastAsia="黑体" w:cs="黑体"/>
          <w:b/>
          <w:color w:val="FF0000"/>
          <w:kern w:val="0"/>
          <w:sz w:val="24"/>
          <w:szCs w:val="24"/>
          <w:lang w:eastAsia="zh-CN"/>
        </w:rPr>
        <w:t>国金证券股份有限公司</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Pr>
          <w:p>
            <w:pPr>
              <w:pStyle w:val="16"/>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ind w:firstLine="482" w:firstLineChars="200"/>
              <w:jc w:val="both"/>
              <w:textAlignment w:val="auto"/>
              <w:rPr>
                <w:rFonts w:cs="Arial"/>
                <w:color w:val="auto"/>
              </w:rPr>
            </w:pPr>
            <w:bookmarkStart w:id="0" w:name="_Hlk28248536"/>
            <w:r>
              <w:rPr>
                <w:rFonts w:cs="Arial"/>
                <w:b/>
                <w:bCs/>
                <w:color w:val="auto"/>
              </w:rPr>
              <w:t>本公司</w:t>
            </w:r>
            <w:r>
              <w:rPr>
                <w:rFonts w:hint="eastAsia" w:cs="Arial"/>
                <w:b/>
                <w:bCs/>
                <w:color w:val="auto"/>
                <w:lang w:val="en-US" w:eastAsia="zh-CN"/>
              </w:rPr>
              <w:t>及其董事会全体成员</w:t>
            </w:r>
            <w:r>
              <w:rPr>
                <w:rFonts w:cs="Arial"/>
                <w:b/>
                <w:bCs/>
                <w:color w:val="auto"/>
              </w:rPr>
              <w:t>保证</w:t>
            </w:r>
            <w:r>
              <w:rPr>
                <w:rFonts w:hint="eastAsia" w:cs="Arial"/>
                <w:b/>
                <w:bCs/>
                <w:color w:val="auto"/>
                <w:lang w:val="en-US" w:eastAsia="zh-CN"/>
              </w:rPr>
              <w:t>信息披露内容的真实、准确和完整，没有</w:t>
            </w:r>
            <w:r>
              <w:rPr>
                <w:rFonts w:cs="Arial"/>
                <w:b/>
                <w:bCs/>
                <w:color w:val="auto"/>
              </w:rPr>
              <w:t>虚假记载、误导性陈述或者重大遗漏</w:t>
            </w:r>
            <w:r>
              <w:rPr>
                <w:rFonts w:hint="eastAsia" w:cs="Arial"/>
                <w:b/>
                <w:bCs/>
                <w:color w:val="auto"/>
                <w:lang w:eastAsia="zh-CN"/>
              </w:rPr>
              <w:t>。</w:t>
            </w:r>
          </w:p>
        </w:tc>
      </w:tr>
      <w:bookmarkEnd w:id="0"/>
    </w:tbl>
    <w:p>
      <w:pPr>
        <w:pStyle w:val="16"/>
        <w:keepNext w:val="0"/>
        <w:keepLines w:val="0"/>
        <w:pageBreakBefore w:val="0"/>
        <w:widowControl w:val="0"/>
        <w:kinsoku/>
        <w:wordWrap/>
        <w:overflowPunct/>
        <w:topLinePunct w:val="0"/>
        <w:autoSpaceDE w:val="0"/>
        <w:autoSpaceDN w:val="0"/>
        <w:bidi w:val="0"/>
        <w:adjustRightInd w:val="0"/>
        <w:snapToGrid/>
        <w:spacing w:before="287" w:beforeLines="100" w:after="144" w:afterLines="50" w:line="360" w:lineRule="auto"/>
        <w:jc w:val="center"/>
        <w:textAlignment w:val="auto"/>
        <w:rPr>
          <w:rFonts w:hint="eastAsia" w:ascii="黑体" w:hAnsi="黑体" w:eastAsia="黑体" w:cs="黑体"/>
          <w:b/>
          <w:color w:val="auto"/>
          <w:sz w:val="28"/>
        </w:rPr>
      </w:pPr>
      <w:r>
        <w:rPr>
          <w:rFonts w:hint="eastAsia" w:ascii="黑体" w:hAnsi="黑体" w:eastAsia="黑体" w:cs="黑体"/>
          <w:b/>
          <w:color w:val="auto"/>
          <w:sz w:val="28"/>
        </w:rPr>
        <w:t>重要提示</w:t>
      </w:r>
    </w:p>
    <w:p>
      <w:pPr>
        <w:bidi w:val="0"/>
        <w:spacing w:before="50" w:beforeLines="50" w:after="50" w:afterLines="50"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1、本次配股简称：</w:t>
      </w:r>
      <w:r>
        <w:rPr>
          <w:rFonts w:hint="eastAsia" w:cs="Times New Roman"/>
          <w:sz w:val="24"/>
          <w:szCs w:val="24"/>
          <w:lang w:val="en-US" w:eastAsia="zh-CN"/>
        </w:rPr>
        <w:t>三环</w:t>
      </w:r>
      <w:r>
        <w:rPr>
          <w:rFonts w:hint="eastAsia" w:ascii="Times New Roman" w:hAnsi="Times New Roman" w:eastAsia="宋体" w:cs="Times New Roman"/>
          <w:sz w:val="24"/>
          <w:szCs w:val="24"/>
          <w:lang w:eastAsia="zh-CN"/>
        </w:rPr>
        <w:t>A1配；配股代码：080</w:t>
      </w:r>
      <w:r>
        <w:rPr>
          <w:rFonts w:hint="eastAsia" w:ascii="Times New Roman" w:hAnsi="Times New Roman" w:eastAsia="宋体" w:cs="Times New Roman"/>
          <w:sz w:val="24"/>
          <w:szCs w:val="24"/>
          <w:lang w:val="en-US" w:eastAsia="zh-CN"/>
        </w:rPr>
        <w:t>970；</w:t>
      </w:r>
      <w:r>
        <w:rPr>
          <w:rFonts w:hint="eastAsia" w:ascii="Times New Roman" w:hAnsi="Times New Roman" w:eastAsia="宋体" w:cs="Times New Roman"/>
          <w:sz w:val="24"/>
          <w:szCs w:val="24"/>
          <w:lang w:eastAsia="zh-CN"/>
        </w:rPr>
        <w:t>配股价格：</w:t>
      </w:r>
      <w:r>
        <w:rPr>
          <w:rFonts w:hint="eastAsia" w:cs="Times New Roman"/>
          <w:sz w:val="24"/>
          <w:szCs w:val="24"/>
          <w:lang w:val="en-US" w:eastAsia="zh-CN"/>
        </w:rPr>
        <w:t>4.50</w:t>
      </w:r>
      <w:r>
        <w:rPr>
          <w:rFonts w:hint="eastAsia" w:ascii="Times New Roman" w:hAnsi="Times New Roman" w:eastAsia="宋体" w:cs="Times New Roman"/>
          <w:sz w:val="24"/>
          <w:szCs w:val="24"/>
          <w:lang w:eastAsia="zh-CN"/>
        </w:rPr>
        <w:t>元/股。</w:t>
      </w:r>
    </w:p>
    <w:p>
      <w:pPr>
        <w:bidi w:val="0"/>
        <w:spacing w:before="50" w:beforeLines="50" w:after="50" w:afterLines="50"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2、本次配股缴款起止日期：</w:t>
      </w:r>
      <w:r>
        <w:rPr>
          <w:rFonts w:hint="eastAsia" w:cs="Times New Roman"/>
          <w:sz w:val="24"/>
          <w:szCs w:val="24"/>
          <w:lang w:val="en-US" w:eastAsia="zh-CN"/>
        </w:rPr>
        <w:t>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16</w:t>
      </w:r>
      <w:r>
        <w:rPr>
          <w:rFonts w:hint="eastAsia" w:ascii="Times New Roman" w:hAnsi="Times New Roman" w:eastAsia="宋体" w:cs="Times New Roman"/>
          <w:sz w:val="24"/>
          <w:szCs w:val="24"/>
          <w:lang w:val="en-US" w:eastAsia="zh-CN"/>
        </w:rPr>
        <w:t xml:space="preserve">日（R+1日）至 </w:t>
      </w:r>
      <w:r>
        <w:rPr>
          <w:rFonts w:hint="eastAsia" w:cs="Times New Roman"/>
          <w:sz w:val="24"/>
          <w:szCs w:val="24"/>
          <w:lang w:val="en-US" w:eastAsia="zh-CN"/>
        </w:rPr>
        <w:t>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22</w:t>
      </w:r>
      <w:r>
        <w:rPr>
          <w:rFonts w:hint="eastAsia" w:ascii="Times New Roman" w:hAnsi="Times New Roman" w:eastAsia="宋体" w:cs="Times New Roman"/>
          <w:sz w:val="24"/>
          <w:szCs w:val="24"/>
          <w:lang w:val="en-US" w:eastAsia="zh-CN"/>
        </w:rPr>
        <w:t>日（R+5日）的深圳证券交易所（以下简称“深交所”）正常交易时间，请股东注意申购时间。</w:t>
      </w:r>
    </w:p>
    <w:p>
      <w:pPr>
        <w:bidi w:val="0"/>
        <w:spacing w:before="50" w:beforeLines="50" w:after="50" w:afterLines="50"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3、本次配股网上认购期间（即缴款起止日期间：</w:t>
      </w:r>
      <w:r>
        <w:rPr>
          <w:rFonts w:hint="eastAsia" w:cs="Times New Roman"/>
          <w:sz w:val="24"/>
          <w:szCs w:val="24"/>
          <w:lang w:val="en-US" w:eastAsia="zh-CN"/>
        </w:rPr>
        <w:t>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16</w:t>
      </w:r>
      <w:r>
        <w:rPr>
          <w:rFonts w:hint="eastAsia" w:ascii="Times New Roman" w:hAnsi="Times New Roman" w:eastAsia="宋体" w:cs="Times New Roman"/>
          <w:sz w:val="24"/>
          <w:szCs w:val="24"/>
          <w:lang w:val="en-US" w:eastAsia="zh-CN"/>
        </w:rPr>
        <w:t>日至</w:t>
      </w:r>
      <w:r>
        <w:rPr>
          <w:rFonts w:hint="eastAsia" w:cs="Times New Roman"/>
          <w:sz w:val="24"/>
          <w:szCs w:val="24"/>
          <w:lang w:val="en-US" w:eastAsia="zh-CN"/>
        </w:rPr>
        <w:t>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22</w:t>
      </w:r>
      <w:r>
        <w:rPr>
          <w:rFonts w:hint="eastAsia" w:ascii="Times New Roman" w:hAnsi="Times New Roman" w:eastAsia="宋体" w:cs="Times New Roman"/>
          <w:sz w:val="24"/>
          <w:szCs w:val="24"/>
          <w:lang w:val="en-US" w:eastAsia="zh-CN"/>
        </w:rPr>
        <w:t>日）</w:t>
      </w:r>
      <w:r>
        <w:rPr>
          <w:rFonts w:hint="eastAsia" w:cs="Times New Roman"/>
          <w:sz w:val="24"/>
          <w:szCs w:val="24"/>
          <w:lang w:val="en-US" w:eastAsia="zh-CN"/>
        </w:rPr>
        <w:t>，中科三环A股股票停牌；2022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23</w:t>
      </w:r>
      <w:r>
        <w:rPr>
          <w:rFonts w:hint="eastAsia" w:ascii="Times New Roman" w:hAnsi="Times New Roman" w:eastAsia="宋体" w:cs="Times New Roman"/>
          <w:sz w:val="24"/>
          <w:szCs w:val="24"/>
          <w:lang w:val="en-US" w:eastAsia="zh-CN"/>
        </w:rPr>
        <w:t>日（R+6日）中国证券登记结算有限责任公司深圳分公司（以下简称“登记公司”）对本次配股进行网上清算，</w:t>
      </w:r>
      <w:r>
        <w:rPr>
          <w:rFonts w:hint="eastAsia" w:cs="Times New Roman"/>
          <w:sz w:val="24"/>
          <w:szCs w:val="24"/>
          <w:lang w:val="en-US" w:eastAsia="zh-CN"/>
        </w:rPr>
        <w:t>中科三环A股股票继续停牌；2022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24</w:t>
      </w:r>
      <w:r>
        <w:rPr>
          <w:rFonts w:hint="eastAsia" w:ascii="Times New Roman" w:hAnsi="Times New Roman" w:eastAsia="宋体" w:cs="Times New Roman"/>
          <w:sz w:val="24"/>
          <w:szCs w:val="24"/>
          <w:lang w:val="en-US" w:eastAsia="zh-CN"/>
        </w:rPr>
        <w:t>日（R+7日）公告配股结果，</w:t>
      </w:r>
      <w:r>
        <w:rPr>
          <w:rFonts w:hint="eastAsia" w:cs="Times New Roman"/>
          <w:sz w:val="24"/>
          <w:szCs w:val="24"/>
          <w:lang w:val="en-US" w:eastAsia="zh-CN"/>
        </w:rPr>
        <w:t>中科三环A股股票复牌。</w:t>
      </w:r>
    </w:p>
    <w:p>
      <w:pPr>
        <w:bidi w:val="0"/>
        <w:spacing w:before="50" w:beforeLines="50" w:after="50" w:afterLines="50"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4、《北京中科三环高技术股份有限公司配股说明书</w:t>
      </w:r>
      <w:r>
        <w:rPr>
          <w:rFonts w:hint="eastAsia" w:cs="Times New Roman"/>
          <w:sz w:val="24"/>
          <w:szCs w:val="24"/>
          <w:lang w:val="en-US" w:eastAsia="zh-CN"/>
        </w:rPr>
        <w:t>摘要</w:t>
      </w:r>
      <w:r>
        <w:rPr>
          <w:rFonts w:hint="eastAsia" w:ascii="Times New Roman" w:hAnsi="Times New Roman" w:eastAsia="宋体" w:cs="Times New Roman"/>
          <w:sz w:val="24"/>
          <w:szCs w:val="24"/>
          <w:lang w:val="en-US" w:eastAsia="zh-CN"/>
        </w:rPr>
        <w:t>》已于</w:t>
      </w:r>
      <w:r>
        <w:rPr>
          <w:rFonts w:hint="eastAsia" w:cs="Times New Roman"/>
          <w:sz w:val="24"/>
          <w:szCs w:val="24"/>
          <w:lang w:val="en-US" w:eastAsia="zh-CN"/>
        </w:rPr>
        <w:t>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11</w:t>
      </w:r>
      <w:r>
        <w:rPr>
          <w:rFonts w:hint="eastAsia" w:ascii="Times New Roman" w:hAnsi="Times New Roman" w:eastAsia="宋体" w:cs="Times New Roman"/>
          <w:sz w:val="24"/>
          <w:szCs w:val="24"/>
          <w:lang w:val="en-US" w:eastAsia="zh-CN"/>
        </w:rPr>
        <w:t>日刊登在</w:t>
      </w:r>
      <w:r>
        <w:rPr>
          <w:rFonts w:hint="eastAsia"/>
        </w:rPr>
        <w:t>《中国证券报》《证券时报》《证券日报》《上海证券报》</w:t>
      </w:r>
      <w:r>
        <w:rPr>
          <w:rFonts w:hint="eastAsia" w:ascii="Times New Roman" w:hAnsi="Times New Roman" w:eastAsia="宋体" w:cs="Times New Roman"/>
          <w:sz w:val="24"/>
          <w:szCs w:val="24"/>
          <w:lang w:val="en-US" w:eastAsia="zh-CN"/>
        </w:rPr>
        <w:t>，本次发行的配股说明书全文及其他相关资料可在巨潮资讯网（http://www.cninfo.com.cn/）查询。投资者欲了解本次发行的详细情况，请仔细阅读相关内容。</w:t>
      </w:r>
    </w:p>
    <w:p>
      <w:pPr>
        <w:bidi w:val="0"/>
        <w:spacing w:before="50" w:beforeLines="50" w:after="50" w:afterLines="50"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5、本次配股上市时间在配股发行成功后根据深交所的安排确定，将另行公告。</w:t>
      </w:r>
    </w:p>
    <w:p>
      <w:pPr>
        <w:bidi w:val="0"/>
      </w:pPr>
      <w:r>
        <w:rPr>
          <w:rFonts w:hint="eastAsia" w:ascii="Times New Roman" w:hAnsi="Times New Roman" w:eastAsia="宋体" w:cs="Times New Roman"/>
          <w:sz w:val="24"/>
          <w:szCs w:val="24"/>
          <w:lang w:val="en-US" w:eastAsia="zh-CN"/>
        </w:rPr>
        <w:t>6、本次</w:t>
      </w:r>
      <w:r>
        <w:rPr>
          <w:rFonts w:hint="eastAsia" w:ascii="Times New Roman" w:hAnsi="Times New Roman" w:eastAsia="宋体" w:cs="Times New Roman"/>
          <w:sz w:val="24"/>
          <w:szCs w:val="24"/>
          <w:lang w:eastAsia="zh-CN"/>
        </w:rPr>
        <w:t>配股方案经公司</w:t>
      </w:r>
      <w:r>
        <w:rPr>
          <w:rFonts w:hint="eastAsia" w:ascii="Times New Roman" w:hAnsi="Times New Roman" w:eastAsia="宋体" w:cs="Times New Roman"/>
          <w:sz w:val="24"/>
          <w:szCs w:val="24"/>
          <w:lang w:val="zh-TW" w:eastAsia="zh-CN"/>
        </w:rPr>
        <w:t>2020年7月6日召开的第八届董事会2020年第一次临时会议、2021年4月6日召开的第八届董事会2021年第一次临时会议、</w:t>
      </w:r>
      <w:bookmarkStart w:id="1" w:name="_Hlk76971204"/>
      <w:r>
        <w:rPr>
          <w:rFonts w:hint="eastAsia" w:ascii="Times New Roman" w:hAnsi="Times New Roman" w:eastAsia="宋体" w:cs="Times New Roman"/>
          <w:sz w:val="24"/>
          <w:szCs w:val="24"/>
          <w:lang w:val="zh-TW" w:eastAsia="zh-CN"/>
        </w:rPr>
        <w:t>2021年7月14日召开的第八届董事会2021年第三次临时会议</w:t>
      </w:r>
      <w:bookmarkEnd w:id="1"/>
      <w:r>
        <w:rPr>
          <w:rFonts w:hint="eastAsia" w:ascii="Times New Roman" w:hAnsi="Times New Roman" w:eastAsia="宋体" w:cs="Times New Roman"/>
          <w:sz w:val="24"/>
          <w:szCs w:val="24"/>
          <w:lang w:val="zh-TW" w:eastAsia="zh-CN"/>
        </w:rPr>
        <w:t>以及2021年5月24日召开的2021年第一次临时股东大会审议通过。</w:t>
      </w:r>
      <w:r>
        <w:rPr>
          <w:rFonts w:hint="eastAsia" w:ascii="Times New Roman" w:hAnsi="Times New Roman" w:eastAsia="宋体" w:cs="Times New Roman"/>
          <w:sz w:val="24"/>
          <w:szCs w:val="24"/>
          <w:lang w:eastAsia="zh-CN"/>
        </w:rPr>
        <w:t>本次配股申请已经中国证券监督管理委员会（以下简称“中国证监会”）第十八届发行审核委员会2021年第</w:t>
      </w:r>
      <w:r>
        <w:rPr>
          <w:rFonts w:hint="eastAsia" w:ascii="Times New Roman" w:hAnsi="Times New Roman" w:eastAsia="宋体" w:cs="Times New Roman"/>
          <w:sz w:val="24"/>
          <w:szCs w:val="24"/>
          <w:lang w:val="en-US" w:eastAsia="zh-CN"/>
        </w:rPr>
        <w:t>101</w:t>
      </w:r>
      <w:r>
        <w:rPr>
          <w:rFonts w:hint="eastAsia" w:ascii="Times New Roman" w:hAnsi="Times New Roman" w:eastAsia="宋体" w:cs="Times New Roman"/>
          <w:sz w:val="24"/>
          <w:szCs w:val="24"/>
          <w:lang w:eastAsia="zh-CN"/>
        </w:rPr>
        <w:t>次发审委会议审核通过，并获得中国证监会</w:t>
      </w:r>
      <w:r>
        <w:rPr>
          <w:rFonts w:hint="eastAsia" w:ascii="Times New Roman" w:hAnsi="Times New Roman" w:eastAsia="宋体" w:cs="Times New Roman"/>
          <w:sz w:val="24"/>
          <w:szCs w:val="24"/>
          <w:lang w:val="en-US" w:eastAsia="zh-CN"/>
        </w:rPr>
        <w:t>证监许可</w:t>
      </w:r>
      <w:r>
        <w:rPr>
          <w:rFonts w:hint="eastAsia" w:ascii="Times New Roman" w:hAnsi="Times New Roman" w:eastAsia="宋体" w:cs="Times New Roman"/>
          <w:sz w:val="24"/>
          <w:szCs w:val="24"/>
          <w:lang w:eastAsia="zh-CN"/>
        </w:rPr>
        <w:t>[2021]</w:t>
      </w:r>
      <w:r>
        <w:rPr>
          <w:rFonts w:hint="eastAsia" w:ascii="Times New Roman" w:hAnsi="Times New Roman" w:eastAsia="宋体" w:cs="Times New Roman"/>
          <w:sz w:val="24"/>
          <w:szCs w:val="24"/>
          <w:lang w:val="en-US" w:eastAsia="zh-CN"/>
        </w:rPr>
        <w:t>3203</w:t>
      </w:r>
      <w:r>
        <w:rPr>
          <w:rFonts w:hint="eastAsia" w:ascii="Times New Roman" w:hAnsi="Times New Roman" w:eastAsia="宋体" w:cs="Times New Roman"/>
          <w:sz w:val="24"/>
          <w:szCs w:val="24"/>
          <w:lang w:eastAsia="zh-CN"/>
        </w:rPr>
        <w:t>号文核准。</w:t>
      </w:r>
    </w:p>
    <w:p>
      <w:pPr>
        <w:bidi w:val="0"/>
        <w:spacing w:before="50" w:beforeLines="50" w:after="50" w:afterLines="50" w:line="360" w:lineRule="auto"/>
        <w:ind w:firstLine="0" w:firstLineChars="0"/>
        <w:rPr>
          <w:rFonts w:hint="eastAsia" w:ascii="Times New Roman" w:hAnsi="Times New Roman" w:eastAsia="黑体" w:cs="Times New Roman"/>
          <w:b/>
          <w:bCs/>
          <w:kern w:val="44"/>
          <w:sz w:val="28"/>
          <w:szCs w:val="44"/>
          <w:lang w:val="en-US" w:eastAsia="zh-CN" w:bidi="ar-SA"/>
        </w:rPr>
      </w:pPr>
      <w:r>
        <w:rPr>
          <w:rFonts w:hint="eastAsia" w:ascii="Times New Roman" w:hAnsi="Times New Roman" w:eastAsia="黑体" w:cs="Times New Roman"/>
          <w:b/>
          <w:bCs/>
          <w:kern w:val="44"/>
          <w:sz w:val="28"/>
          <w:szCs w:val="44"/>
          <w:lang w:val="en-US" w:eastAsia="zh-CN" w:bidi="ar-SA"/>
        </w:rPr>
        <w:t>一、本次配股的基本情况</w:t>
      </w:r>
    </w:p>
    <w:p>
      <w:pPr>
        <w:pStyle w:val="3"/>
        <w:bidi w:val="0"/>
        <w:rPr>
          <w:b w:val="0"/>
          <w:bCs w:val="0"/>
        </w:rPr>
      </w:pPr>
      <w:r>
        <w:rPr>
          <w:rFonts w:hint="eastAsia"/>
          <w:b/>
          <w:bCs/>
          <w:lang w:eastAsia="zh-CN"/>
        </w:rPr>
        <w:t>（</w:t>
      </w:r>
      <w:r>
        <w:rPr>
          <w:rFonts w:hint="eastAsia"/>
          <w:b/>
          <w:bCs/>
          <w:lang w:val="en-US" w:eastAsia="zh-CN"/>
        </w:rPr>
        <w:t>一</w:t>
      </w:r>
      <w:r>
        <w:rPr>
          <w:rFonts w:hint="eastAsia"/>
          <w:b/>
          <w:bCs/>
          <w:lang w:eastAsia="zh-CN"/>
        </w:rPr>
        <w:t>）</w:t>
      </w:r>
      <w:r>
        <w:rPr>
          <w:rFonts w:hint="eastAsia"/>
          <w:b/>
          <w:bCs/>
          <w:lang w:val="en-US" w:eastAsia="zh-CN"/>
        </w:rPr>
        <w:t>配股</w:t>
      </w:r>
      <w:r>
        <w:rPr>
          <w:b/>
          <w:bCs/>
        </w:rPr>
        <w:t>发行股票类型：</w:t>
      </w:r>
      <w:r>
        <w:rPr>
          <w:b w:val="0"/>
          <w:bCs w:val="0"/>
        </w:rPr>
        <w:t>人民币普通股（A股）。</w:t>
      </w:r>
    </w:p>
    <w:p>
      <w:pPr>
        <w:pStyle w:val="3"/>
        <w:bidi w:val="0"/>
      </w:pPr>
      <w:r>
        <w:rPr>
          <w:rFonts w:hint="eastAsia"/>
          <w:b/>
          <w:bCs/>
          <w:lang w:eastAsia="zh-CN"/>
        </w:rPr>
        <w:t>（</w:t>
      </w:r>
      <w:r>
        <w:rPr>
          <w:rFonts w:hint="eastAsia"/>
          <w:b/>
          <w:bCs/>
          <w:lang w:val="en-US" w:eastAsia="zh-CN"/>
        </w:rPr>
        <w:t>二</w:t>
      </w:r>
      <w:r>
        <w:rPr>
          <w:rFonts w:hint="eastAsia"/>
          <w:b/>
          <w:bCs/>
          <w:lang w:eastAsia="zh-CN"/>
        </w:rPr>
        <w:t>）</w:t>
      </w:r>
      <w:r>
        <w:rPr>
          <w:b/>
          <w:bCs/>
        </w:rPr>
        <w:t>每股面值：</w:t>
      </w:r>
      <w:r>
        <w:rPr>
          <w:rFonts w:hint="default" w:ascii="Times New Roman" w:hAnsi="Times New Roman" w:cs="Times New Roman"/>
          <w:b w:val="0"/>
          <w:bCs w:val="0"/>
        </w:rPr>
        <w:t>1.00元</w:t>
      </w:r>
      <w:r>
        <w:rPr>
          <w:b w:val="0"/>
          <w:bCs w:val="0"/>
        </w:rPr>
        <w:t>。</w:t>
      </w:r>
    </w:p>
    <w:p>
      <w:pPr>
        <w:pStyle w:val="3"/>
        <w:bidi w:val="0"/>
      </w:pPr>
      <w:r>
        <w:rPr>
          <w:rFonts w:hint="eastAsia"/>
          <w:lang w:eastAsia="zh-CN"/>
        </w:rPr>
        <w:t>（</w:t>
      </w:r>
      <w:r>
        <w:rPr>
          <w:rFonts w:hint="eastAsia"/>
          <w:lang w:val="en-US" w:eastAsia="zh-CN"/>
        </w:rPr>
        <w:t>三</w:t>
      </w:r>
      <w:r>
        <w:rPr>
          <w:rFonts w:hint="eastAsia"/>
          <w:lang w:eastAsia="zh-CN"/>
        </w:rPr>
        <w:t>）</w:t>
      </w:r>
      <w:r>
        <w:rPr>
          <w:rFonts w:hint="eastAsia"/>
          <w:lang w:val="en-US" w:eastAsia="zh-CN"/>
        </w:rPr>
        <w:t>配售</w:t>
      </w:r>
      <w:r>
        <w:t>比例及数量</w:t>
      </w:r>
    </w:p>
    <w:p>
      <w:pPr>
        <w:bidi w:val="0"/>
      </w:pPr>
      <w:r>
        <w:t>本次配股以股权登记日</w:t>
      </w:r>
      <w:r>
        <w:rPr>
          <w:rFonts w:hint="eastAsia"/>
          <w:lang w:eastAsia="zh-CN"/>
        </w:rPr>
        <w:t>2022年2月15日（R日）深交所</w:t>
      </w:r>
      <w:r>
        <w:t>收市后</w:t>
      </w:r>
      <w:r>
        <w:rPr>
          <w:rFonts w:hint="eastAsia"/>
          <w:lang w:val="en-US" w:eastAsia="zh-CN"/>
        </w:rPr>
        <w:t>公司总股本1,065,200,000</w:t>
      </w:r>
      <w:r>
        <w:t>股为基数，按每10股配售</w:t>
      </w:r>
      <w:r>
        <w:rPr>
          <w:rFonts w:hint="eastAsia"/>
          <w:lang w:val="en-US" w:eastAsia="zh-CN"/>
        </w:rPr>
        <w:t>1.5</w:t>
      </w:r>
      <w:r>
        <w:t>股的比例向全体股东配售，</w:t>
      </w:r>
      <w:r>
        <w:rPr>
          <w:rFonts w:hint="eastAsia"/>
          <w:lang w:val="en-US" w:eastAsia="zh-CN"/>
        </w:rPr>
        <w:t>共计</w:t>
      </w:r>
      <w:r>
        <w:t>可配股份</w:t>
      </w:r>
      <w:r>
        <w:rPr>
          <w:rFonts w:hint="eastAsia"/>
          <w:lang w:val="en-US" w:eastAsia="zh-CN"/>
        </w:rPr>
        <w:t>数量</w:t>
      </w:r>
      <w:r>
        <w:t>为</w:t>
      </w:r>
      <w:r>
        <w:rPr>
          <w:rFonts w:hint="eastAsia"/>
          <w:lang w:val="en-US" w:eastAsia="zh-CN"/>
        </w:rPr>
        <w:t>159,780,000</w:t>
      </w:r>
      <w:r>
        <w:t>股。</w:t>
      </w:r>
    </w:p>
    <w:p>
      <w:pPr>
        <w:bidi w:val="0"/>
        <w:rPr>
          <w:rFonts w:hint="eastAsia" w:ascii="Times New Roman" w:hAnsi="Times New Roman" w:eastAsia="宋体" w:cs="Times New Roman"/>
          <w:color w:val="000000"/>
          <w:sz w:val="24"/>
          <w:szCs w:val="24"/>
          <w:lang w:val="en-US" w:eastAsia="zh-CN"/>
        </w:rPr>
      </w:pPr>
      <w:r>
        <w:rPr>
          <w:rFonts w:hint="eastAsia" w:cs="Times New Roman"/>
          <w:sz w:val="24"/>
          <w:szCs w:val="24"/>
          <w:lang w:val="en-US" w:eastAsia="zh-CN"/>
        </w:rPr>
        <w:t>发行人</w:t>
      </w:r>
      <w:r>
        <w:rPr>
          <w:rFonts w:hint="default" w:ascii="Times New Roman" w:hAnsi="Times New Roman" w:cs="Times New Roman"/>
          <w:sz w:val="24"/>
          <w:szCs w:val="24"/>
        </w:rPr>
        <w:t>为内地与香港股市互联互通标的公司，需通过内地与香港股票市场交易互联互通机制安排向香港投资者配股。内地与香港对于零碎股份的处理方式可能存在差异，特提请投资者注意。配售股份不足1股的，</w:t>
      </w:r>
      <w:r>
        <w:rPr>
          <w:rFonts w:hint="eastAsia" w:cs="Times New Roman"/>
          <w:sz w:val="24"/>
          <w:szCs w:val="24"/>
          <w:lang w:val="en-US" w:eastAsia="zh-CN"/>
        </w:rPr>
        <w:t>按照《中国证券登记结算有限责任公司深圳分公司证券发行人业务指南》（以下简称“《中国结算深圳分公司证券发行人业务指南》”）</w:t>
      </w:r>
      <w:r>
        <w:rPr>
          <w:rFonts w:hint="default" w:ascii="Times New Roman" w:hAnsi="Times New Roman" w:cs="Times New Roman"/>
          <w:sz w:val="24"/>
          <w:szCs w:val="24"/>
        </w:rPr>
        <w:t>的有关规定处理，配股过程中产生不足1份的零碎配股权证，按数量大小排序，数量小的循环进位给数量大的股东，以达到最小记账单位1份</w:t>
      </w:r>
      <w:r>
        <w:rPr>
          <w:rFonts w:hint="default" w:ascii="Times New Roman" w:hAnsi="Times New Roman" w:eastAsia="宋体" w:cs="Times New Roman"/>
          <w:color w:val="000000"/>
          <w:sz w:val="24"/>
          <w:szCs w:val="24"/>
        </w:rPr>
        <w:t>；香港投资者通过内地与香港互联互通持有发行人股份并参与本次配股的，对配售股份不足1股的部分，香港交易及结算所有限公司将根据中央结算系统有关规则的规定将该等零碎股份的数额调整至整数单位。</w:t>
      </w:r>
    </w:p>
    <w:p>
      <w:pPr>
        <w:pStyle w:val="3"/>
        <w:bidi w:val="0"/>
        <w:rPr>
          <w:rFonts w:hint="eastAsia"/>
          <w:lang w:eastAsia="zh-CN"/>
        </w:rPr>
      </w:pPr>
      <w:r>
        <w:rPr>
          <w:rFonts w:hint="eastAsia"/>
          <w:lang w:eastAsia="zh-CN"/>
        </w:rPr>
        <w:t>（</w:t>
      </w:r>
      <w:r>
        <w:rPr>
          <w:rFonts w:hint="eastAsia"/>
          <w:lang w:val="en-US" w:eastAsia="zh-CN"/>
        </w:rPr>
        <w:t>四</w:t>
      </w:r>
      <w:r>
        <w:rPr>
          <w:rFonts w:hint="eastAsia"/>
          <w:lang w:eastAsia="zh-CN"/>
        </w:rPr>
        <w:t>）控股股东认购本次配股的承诺</w:t>
      </w:r>
    </w:p>
    <w:p>
      <w:pPr>
        <w:bidi w:val="0"/>
        <w:rPr>
          <w:rFonts w:hint="eastAsia"/>
          <w:lang w:eastAsia="zh-CN"/>
        </w:rPr>
      </w:pPr>
      <w:r>
        <w:rPr>
          <w:rFonts w:hint="eastAsia"/>
          <w:lang w:val="zh-TW"/>
        </w:rPr>
        <w:t>公司控股股东北京三环控股有限公司承诺</w:t>
      </w:r>
      <w:r>
        <w:rPr>
          <w:rFonts w:hint="eastAsia"/>
        </w:rPr>
        <w:t>将以现金方式全额认购可配股份，认购资金来源合法合规。</w:t>
      </w:r>
    </w:p>
    <w:p>
      <w:pPr>
        <w:pStyle w:val="3"/>
        <w:bidi w:val="0"/>
        <w:rPr>
          <w:rFonts w:hint="default"/>
          <w:lang w:val="en-US" w:eastAsia="zh-CN"/>
        </w:rPr>
      </w:pPr>
      <w:r>
        <w:rPr>
          <w:rFonts w:hint="eastAsia"/>
          <w:lang w:eastAsia="zh-CN"/>
        </w:rPr>
        <w:t>（</w:t>
      </w:r>
      <w:r>
        <w:rPr>
          <w:rFonts w:hint="eastAsia"/>
          <w:lang w:val="en-US" w:eastAsia="zh-CN"/>
        </w:rPr>
        <w:t>五</w:t>
      </w:r>
      <w:r>
        <w:rPr>
          <w:rFonts w:hint="eastAsia"/>
          <w:lang w:eastAsia="zh-CN"/>
        </w:rPr>
        <w:t>）</w:t>
      </w:r>
      <w:r>
        <w:rPr>
          <w:rFonts w:hint="eastAsia"/>
          <w:lang w:val="en-US" w:eastAsia="zh-CN"/>
        </w:rPr>
        <w:t>募集资金的用途</w:t>
      </w:r>
    </w:p>
    <w:p>
      <w:pPr>
        <w:bidi w:val="0"/>
        <w:rPr>
          <w:rFonts w:hint="eastAsia"/>
          <w:szCs w:val="21"/>
          <w:lang w:val="zh-TW"/>
        </w:rPr>
      </w:pPr>
      <w:r>
        <w:rPr>
          <w:rFonts w:hint="eastAsia"/>
          <w:szCs w:val="21"/>
          <w:lang w:val="zh-TW"/>
        </w:rPr>
        <w:t>本次配股募集资金总额预计不超过人民币7</w:t>
      </w:r>
      <w:r>
        <w:rPr>
          <w:szCs w:val="21"/>
          <w:lang w:val="zh-TW"/>
        </w:rPr>
        <w:t>2,000.00</w:t>
      </w:r>
      <w:r>
        <w:rPr>
          <w:rFonts w:hint="eastAsia"/>
          <w:szCs w:val="21"/>
          <w:lang w:val="zh-TW"/>
        </w:rPr>
        <w:t>万元，扣除发行费用后，拟全部用于以下项目：</w:t>
      </w:r>
    </w:p>
    <w:p>
      <w:pPr>
        <w:pStyle w:val="19"/>
        <w:keepNext/>
        <w:keepLines w:val="0"/>
        <w:pageBreakBefore w:val="0"/>
        <w:widowControl/>
        <w:kinsoku/>
        <w:wordWrap/>
        <w:overflowPunct/>
        <w:topLinePunct w:val="0"/>
        <w:autoSpaceDE/>
        <w:autoSpaceDN/>
        <w:bidi w:val="0"/>
        <w:adjustRightInd w:val="0"/>
        <w:snapToGrid w:val="0"/>
        <w:spacing w:before="0" w:beforeLines="0" w:after="0" w:afterLines="0" w:line="240" w:lineRule="auto"/>
        <w:textAlignment w:val="auto"/>
        <w:rPr>
          <w:sz w:val="21"/>
          <w:szCs w:val="21"/>
        </w:rPr>
      </w:pPr>
      <w:r>
        <w:rPr>
          <w:rFonts w:hint="eastAsia"/>
          <w:sz w:val="21"/>
          <w:szCs w:val="21"/>
        </w:rPr>
        <w:t>单位：万元</w:t>
      </w:r>
    </w:p>
    <w:tbl>
      <w:tblPr>
        <w:tblStyle w:val="9"/>
        <w:tblW w:w="5000" w:type="pct"/>
        <w:jc w:val="center"/>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708"/>
        <w:gridCol w:w="1767"/>
        <w:gridCol w:w="3493"/>
        <w:gridCol w:w="1163"/>
        <w:gridCol w:w="1397"/>
      </w:tblGrid>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blHeader/>
          <w:jc w:val="center"/>
        </w:trPr>
        <w:tc>
          <w:tcPr>
            <w:tcW w:w="415" w:type="pct"/>
            <w:tcBorders>
              <w:tl2br w:val="nil"/>
              <w:tr2bl w:val="nil"/>
            </w:tcBorders>
            <w:shd w:val="clear" w:color="auto" w:fill="D7D7D7" w:themeFill="background1" w:themeFillShade="D8"/>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color w:val="333333"/>
                <w:sz w:val="21"/>
                <w:szCs w:val="21"/>
              </w:rPr>
            </w:pPr>
            <w:r>
              <w:rPr>
                <w:rFonts w:hint="default" w:ascii="Times New Roman" w:hAnsi="Times New Roman" w:eastAsia="宋体" w:cs="Times New Roman"/>
                <w:b/>
                <w:color w:val="333333"/>
                <w:sz w:val="21"/>
                <w:szCs w:val="21"/>
              </w:rPr>
              <w:t>序号</w:t>
            </w:r>
          </w:p>
        </w:tc>
        <w:tc>
          <w:tcPr>
            <w:tcW w:w="1036" w:type="pct"/>
            <w:tcBorders>
              <w:tl2br w:val="nil"/>
              <w:tr2bl w:val="nil"/>
            </w:tcBorders>
            <w:shd w:val="clear" w:color="auto" w:fill="D7D7D7" w:themeFill="background1" w:themeFillShade="D8"/>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color w:val="333333"/>
                <w:sz w:val="21"/>
                <w:szCs w:val="21"/>
              </w:rPr>
            </w:pPr>
            <w:r>
              <w:rPr>
                <w:rFonts w:hint="default" w:ascii="Times New Roman" w:hAnsi="Times New Roman" w:eastAsia="宋体" w:cs="Times New Roman"/>
                <w:b/>
                <w:color w:val="333333"/>
                <w:sz w:val="21"/>
                <w:szCs w:val="21"/>
              </w:rPr>
              <w:t>建设项目</w:t>
            </w:r>
          </w:p>
        </w:tc>
        <w:tc>
          <w:tcPr>
            <w:tcW w:w="2048" w:type="pct"/>
            <w:tcBorders>
              <w:tl2br w:val="nil"/>
              <w:tr2bl w:val="nil"/>
            </w:tcBorders>
            <w:shd w:val="clear" w:color="auto" w:fill="D7D7D7" w:themeFill="background1" w:themeFillShade="D8"/>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color w:val="333333"/>
                <w:sz w:val="21"/>
                <w:szCs w:val="21"/>
              </w:rPr>
            </w:pPr>
            <w:r>
              <w:rPr>
                <w:rFonts w:hint="default" w:ascii="Times New Roman" w:hAnsi="Times New Roman" w:eastAsia="宋体" w:cs="Times New Roman"/>
                <w:b/>
                <w:color w:val="333333"/>
                <w:sz w:val="21"/>
                <w:szCs w:val="21"/>
              </w:rPr>
              <w:t>项目具体名称</w:t>
            </w:r>
          </w:p>
        </w:tc>
        <w:tc>
          <w:tcPr>
            <w:tcW w:w="682" w:type="pct"/>
            <w:tcBorders>
              <w:tl2br w:val="nil"/>
              <w:tr2bl w:val="nil"/>
            </w:tcBorders>
            <w:shd w:val="clear" w:color="auto" w:fill="D7D7D7" w:themeFill="background1" w:themeFillShade="D8"/>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color w:val="333333"/>
                <w:sz w:val="21"/>
                <w:szCs w:val="21"/>
              </w:rPr>
            </w:pPr>
            <w:r>
              <w:rPr>
                <w:rFonts w:hint="default" w:ascii="Times New Roman" w:hAnsi="Times New Roman" w:eastAsia="宋体" w:cs="Times New Roman"/>
                <w:b/>
                <w:color w:val="333333"/>
                <w:sz w:val="21"/>
                <w:szCs w:val="21"/>
              </w:rPr>
              <w:t>项目投资总额</w:t>
            </w:r>
          </w:p>
        </w:tc>
        <w:tc>
          <w:tcPr>
            <w:tcW w:w="819" w:type="pct"/>
            <w:tcBorders>
              <w:tl2br w:val="nil"/>
              <w:tr2bl w:val="nil"/>
            </w:tcBorders>
            <w:shd w:val="clear" w:color="auto" w:fill="D7D7D7" w:themeFill="background1" w:themeFillShade="D8"/>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color w:val="333333"/>
                <w:sz w:val="21"/>
                <w:szCs w:val="21"/>
              </w:rPr>
            </w:pPr>
            <w:r>
              <w:rPr>
                <w:rFonts w:hint="default" w:ascii="Times New Roman" w:hAnsi="Times New Roman" w:eastAsia="宋体" w:cs="Times New Roman"/>
                <w:b/>
                <w:color w:val="333333"/>
                <w:sz w:val="21"/>
                <w:szCs w:val="21"/>
              </w:rPr>
              <w:t>募集资金拟投资金额</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vMerge w:val="restar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1</w:t>
            </w:r>
          </w:p>
        </w:tc>
        <w:tc>
          <w:tcPr>
            <w:tcW w:w="1036" w:type="pct"/>
            <w:vMerge w:val="restar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宁波科宁达基地新建及技改项目</w:t>
            </w:r>
          </w:p>
        </w:tc>
        <w:tc>
          <w:tcPr>
            <w:tcW w:w="2048"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宁波科宁达工业有限公司高性能稀土永磁材料扩产改造项目</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9,492.10</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9,492.10</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1036"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2048"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宁波科宁达和丰新材料有限公司高性能稀土永磁材料扩产改造项目</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7,929.32</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7,929.32</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1036"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2048"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宁波科宁达鑫丰精密制造有限公司磁性材料机加工项目</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7,365.58</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7,365.58</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1036"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2048"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宁波科宁达日丰磁材有限公司磁性材料电镀园区项目</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14,213.00</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14,213.00</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3084" w:type="pct"/>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小计</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39,000.00</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39,000.00</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2</w:t>
            </w:r>
          </w:p>
        </w:tc>
        <w:tc>
          <w:tcPr>
            <w:tcW w:w="1036"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中科三环赣州基地新建项目</w:t>
            </w:r>
          </w:p>
        </w:tc>
        <w:tc>
          <w:tcPr>
            <w:tcW w:w="2048"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年产5,000吨高性能烧结钕铁硼磁体建设项目（一期）</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50,000.00</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33,000.00</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w:t>
            </w:r>
          </w:p>
        </w:tc>
        <w:tc>
          <w:tcPr>
            <w:tcW w:w="3084" w:type="pct"/>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合计</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89,000.00</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72,000.00</w:t>
            </w:r>
          </w:p>
        </w:tc>
      </w:tr>
    </w:tbl>
    <w:p>
      <w:pPr>
        <w:bidi w:val="0"/>
        <w:rPr>
          <w:rFonts w:hint="eastAsia"/>
          <w:szCs w:val="21"/>
          <w:lang w:val="zh-TW"/>
        </w:rPr>
      </w:pPr>
      <w:r>
        <w:rPr>
          <w:rFonts w:hint="eastAsia"/>
          <w:szCs w:val="21"/>
          <w:lang w:val="zh-TW"/>
        </w:rPr>
        <w:t>若本次配股发行扣除发行费用后的实际募集资金少于上述项目募集资金拟投资金额，公司将根据实际募集资金净额，按照项目的轻重缓急等情况，调整并最终决定募集资金投入的优先顺序及各项目的具体投资额等使用安排，募集资金不足部分由公司以自筹资金解决。</w:t>
      </w:r>
    </w:p>
    <w:p>
      <w:pPr>
        <w:bidi w:val="0"/>
        <w:rPr>
          <w:rFonts w:hint="eastAsia"/>
          <w:szCs w:val="21"/>
          <w:lang w:val="zh-TW"/>
        </w:rPr>
      </w:pPr>
      <w:r>
        <w:rPr>
          <w:rFonts w:hint="eastAsia"/>
          <w:szCs w:val="21"/>
          <w:lang w:val="zh-TW"/>
        </w:rPr>
        <w:t>为满足项目开展的需要，在本次配股发行募集资金到位之前，公司可根据募集资金投资项目进度的实际情况以自筹资金先行投入，并在募集资金到位后按照相关法规规定的程序予以置换。</w:t>
      </w:r>
    </w:p>
    <w:p>
      <w:pPr>
        <w:pStyle w:val="3"/>
        <w:bidi w:val="0"/>
        <w:rPr>
          <w:b/>
          <w:bCs/>
        </w:rPr>
      </w:pPr>
      <w:r>
        <w:rPr>
          <w:rFonts w:hint="eastAsia"/>
          <w:b/>
          <w:bCs/>
          <w:szCs w:val="21"/>
          <w:lang w:val="zh-TW" w:eastAsia="zh-CN"/>
        </w:rPr>
        <w:t>（</w:t>
      </w:r>
      <w:r>
        <w:rPr>
          <w:rFonts w:hint="eastAsia"/>
          <w:b/>
          <w:bCs/>
          <w:szCs w:val="21"/>
          <w:lang w:val="en-US" w:eastAsia="zh-CN"/>
        </w:rPr>
        <w:t>六</w:t>
      </w:r>
      <w:r>
        <w:rPr>
          <w:rFonts w:hint="eastAsia"/>
          <w:b/>
          <w:bCs/>
          <w:szCs w:val="21"/>
          <w:lang w:val="zh-TW" w:eastAsia="zh-CN"/>
        </w:rPr>
        <w:t>）</w:t>
      </w:r>
      <w:r>
        <w:rPr>
          <w:b/>
          <w:bCs/>
        </w:rPr>
        <w:t>配股价格</w:t>
      </w:r>
    </w:p>
    <w:p>
      <w:pPr>
        <w:bidi w:val="0"/>
        <w:rPr>
          <w:rFonts w:hint="eastAsia" w:eastAsia="宋体"/>
          <w:lang w:val="en-US" w:eastAsia="zh-CN"/>
        </w:rPr>
      </w:pPr>
      <w:r>
        <w:t>本次配股价格为</w:t>
      </w:r>
      <w:r>
        <w:rPr>
          <w:rFonts w:hint="eastAsia"/>
          <w:lang w:val="en-US" w:eastAsia="zh-CN"/>
        </w:rPr>
        <w:t>4.50</w:t>
      </w:r>
      <w:r>
        <w:t>元/股</w:t>
      </w:r>
      <w:r>
        <w:rPr>
          <w:rFonts w:hint="eastAsia"/>
        </w:rPr>
        <w:t>，配股代码</w:t>
      </w:r>
      <w:r>
        <w:rPr>
          <w:rFonts w:hint="eastAsia"/>
          <w:lang w:val="en-US" w:eastAsia="zh-CN"/>
        </w:rPr>
        <w:t>为</w:t>
      </w:r>
      <w:r>
        <w:rPr>
          <w:rFonts w:hint="eastAsia"/>
        </w:rPr>
        <w:t>“080970”，配股简称</w:t>
      </w:r>
      <w:r>
        <w:rPr>
          <w:rFonts w:hint="eastAsia"/>
          <w:lang w:val="en-US" w:eastAsia="zh-CN"/>
        </w:rPr>
        <w:t>为</w:t>
      </w:r>
      <w:r>
        <w:rPr>
          <w:rFonts w:hint="eastAsia"/>
        </w:rPr>
        <w:t>“</w:t>
      </w:r>
      <w:r>
        <w:rPr>
          <w:rFonts w:hint="eastAsia"/>
          <w:lang w:val="en-US" w:eastAsia="zh-CN"/>
        </w:rPr>
        <w:t>三环A1</w:t>
      </w:r>
      <w:r>
        <w:rPr>
          <w:rFonts w:hint="eastAsia"/>
        </w:rPr>
        <w:t>配”。</w:t>
      </w:r>
    </w:p>
    <w:p>
      <w:pPr>
        <w:pStyle w:val="3"/>
        <w:bidi w:val="0"/>
        <w:rPr>
          <w:rFonts w:hint="default"/>
          <w:lang w:val="en-US" w:eastAsia="zh-CN"/>
        </w:rPr>
      </w:pPr>
      <w:r>
        <w:rPr>
          <w:rFonts w:hint="eastAsia"/>
          <w:lang w:eastAsia="zh-CN"/>
        </w:rPr>
        <w:t>（</w:t>
      </w:r>
      <w:r>
        <w:rPr>
          <w:rFonts w:hint="eastAsia"/>
          <w:lang w:val="en-US" w:eastAsia="zh-CN"/>
        </w:rPr>
        <w:t>七</w:t>
      </w:r>
      <w:r>
        <w:rPr>
          <w:rFonts w:hint="eastAsia"/>
          <w:lang w:eastAsia="zh-CN"/>
        </w:rPr>
        <w:t>）</w:t>
      </w:r>
      <w:r>
        <w:rPr>
          <w:rFonts w:hint="eastAsia"/>
          <w:lang w:val="en-US" w:eastAsia="zh-CN"/>
        </w:rPr>
        <w:t>募集资金数量</w:t>
      </w:r>
    </w:p>
    <w:p>
      <w:pPr>
        <w:bidi w:val="0"/>
        <w:rPr>
          <w:rFonts w:hint="eastAsia"/>
          <w:lang w:val="zh-TW" w:eastAsia="zh-CN"/>
        </w:rPr>
      </w:pPr>
      <w:r>
        <w:rPr>
          <w:rFonts w:hint="eastAsia"/>
        </w:rPr>
        <w:t>本次配股募集资金总额不超过人民币</w:t>
      </w:r>
      <w:r>
        <w:rPr>
          <w:rFonts w:hint="eastAsia"/>
          <w:lang w:val="zh-TW"/>
        </w:rPr>
        <w:t>72,000.00万元</w:t>
      </w:r>
      <w:r>
        <w:rPr>
          <w:rFonts w:hint="eastAsia"/>
          <w:lang w:val="zh-TW" w:eastAsia="zh-CN"/>
        </w:rPr>
        <w:t>。</w:t>
      </w:r>
    </w:p>
    <w:p>
      <w:pPr>
        <w:pStyle w:val="3"/>
        <w:bidi w:val="0"/>
      </w:pPr>
      <w:r>
        <w:rPr>
          <w:rFonts w:hint="eastAsia"/>
          <w:b/>
          <w:bCs/>
          <w:lang w:val="zh-TW" w:eastAsia="zh-CN"/>
        </w:rPr>
        <w:t>（</w:t>
      </w:r>
      <w:r>
        <w:rPr>
          <w:rFonts w:hint="eastAsia"/>
          <w:b/>
          <w:bCs/>
          <w:lang w:val="en-US" w:eastAsia="zh-CN"/>
        </w:rPr>
        <w:t>八</w:t>
      </w:r>
      <w:r>
        <w:rPr>
          <w:rFonts w:hint="eastAsia"/>
          <w:b/>
          <w:bCs/>
          <w:lang w:val="zh-TW" w:eastAsia="zh-CN"/>
        </w:rPr>
        <w:t>）</w:t>
      </w:r>
      <w:r>
        <w:rPr>
          <w:b/>
          <w:bCs/>
        </w:rPr>
        <w:t>发行对象</w:t>
      </w:r>
    </w:p>
    <w:p>
      <w:pPr>
        <w:bidi w:val="0"/>
        <w:rPr>
          <w:rFonts w:hint="eastAsia" w:eastAsia="宋体"/>
          <w:lang w:val="en-US" w:eastAsia="zh-CN"/>
        </w:rPr>
      </w:pPr>
      <w:r>
        <w:rPr>
          <w:rFonts w:hint="eastAsia"/>
          <w:lang w:val="en-US" w:eastAsia="zh-CN"/>
        </w:rPr>
        <w:t>截至2022年2月15日（R日）深交所收市后，</w:t>
      </w:r>
      <w:r>
        <w:t>在中国结算</w:t>
      </w:r>
      <w:r>
        <w:rPr>
          <w:rFonts w:hint="eastAsia"/>
          <w:lang w:val="en-US" w:eastAsia="zh-CN"/>
        </w:rPr>
        <w:t>深圳</w:t>
      </w:r>
      <w:r>
        <w:t>分公司登记在册的</w:t>
      </w:r>
      <w:r>
        <w:rPr>
          <w:rFonts w:hint="eastAsia"/>
        </w:rPr>
        <w:t>中科三环</w:t>
      </w:r>
      <w:r>
        <w:t>全体股东。</w:t>
      </w:r>
    </w:p>
    <w:p>
      <w:pPr>
        <w:pStyle w:val="3"/>
        <w:bidi w:val="0"/>
      </w:pPr>
      <w:r>
        <w:rPr>
          <w:rFonts w:hint="eastAsia"/>
          <w:lang w:eastAsia="zh-CN"/>
        </w:rPr>
        <w:t>（</w:t>
      </w:r>
      <w:r>
        <w:rPr>
          <w:rFonts w:hint="eastAsia"/>
          <w:lang w:val="en-US" w:eastAsia="zh-CN"/>
        </w:rPr>
        <w:t>九</w:t>
      </w:r>
      <w:r>
        <w:rPr>
          <w:rFonts w:hint="eastAsia"/>
          <w:lang w:eastAsia="zh-CN"/>
        </w:rPr>
        <w:t>）</w:t>
      </w:r>
      <w:r>
        <w:t>发行方式</w:t>
      </w:r>
    </w:p>
    <w:p>
      <w:pPr>
        <w:bidi w:val="0"/>
      </w:pPr>
      <w:r>
        <w:rPr>
          <w:rFonts w:hint="eastAsia"/>
        </w:rPr>
        <w:t>本次配股对无限售条件股股东全部采取网上定价发行方式，网上发行通过深交所交易系统进行。</w:t>
      </w:r>
    </w:p>
    <w:p>
      <w:pPr>
        <w:pStyle w:val="3"/>
        <w:bidi w:val="0"/>
      </w:pPr>
      <w:r>
        <w:rPr>
          <w:rFonts w:hint="eastAsia"/>
          <w:b/>
          <w:bCs/>
          <w:lang w:eastAsia="zh-CN"/>
        </w:rPr>
        <w:t>（</w:t>
      </w:r>
      <w:r>
        <w:rPr>
          <w:rFonts w:hint="eastAsia"/>
          <w:b/>
          <w:bCs/>
          <w:lang w:val="en-US" w:eastAsia="zh-CN"/>
        </w:rPr>
        <w:t>十</w:t>
      </w:r>
      <w:r>
        <w:rPr>
          <w:rFonts w:hint="eastAsia"/>
          <w:b/>
          <w:bCs/>
          <w:lang w:eastAsia="zh-CN"/>
        </w:rPr>
        <w:t>）</w:t>
      </w:r>
      <w:r>
        <w:rPr>
          <w:b/>
          <w:bCs/>
        </w:rPr>
        <w:t>承销方式：</w:t>
      </w:r>
      <w:r>
        <w:rPr>
          <w:b w:val="0"/>
          <w:bCs w:val="0"/>
        </w:rPr>
        <w:t>代销。</w:t>
      </w:r>
    </w:p>
    <w:p>
      <w:pPr>
        <w:pStyle w:val="3"/>
        <w:bidi w:val="0"/>
        <w:rPr>
          <w:rFonts w:hint="eastAsia"/>
          <w:lang w:eastAsia="zh-CN"/>
        </w:rPr>
      </w:pPr>
      <w:r>
        <w:rPr>
          <w:rFonts w:hint="eastAsia"/>
          <w:lang w:eastAsia="zh-CN"/>
        </w:rPr>
        <w:t>（</w:t>
      </w:r>
      <w:r>
        <w:rPr>
          <w:rFonts w:hint="eastAsia"/>
          <w:lang w:val="en-US" w:eastAsia="zh-CN"/>
        </w:rPr>
        <w:t>十一</w:t>
      </w:r>
      <w:r>
        <w:rPr>
          <w:rFonts w:hint="eastAsia"/>
          <w:lang w:eastAsia="zh-CN"/>
        </w:rPr>
        <w:t>）本次配股主要日期和停牌安排</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20"/>
        <w:gridCol w:w="2286"/>
        <w:gridCol w:w="3199"/>
        <w:gridCol w:w="13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交易日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日期</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配股安排</w:t>
            </w:r>
          </w:p>
        </w:tc>
        <w:tc>
          <w:tcPr>
            <w:tcW w:w="13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b w:val="0"/>
                <w:bCs w:val="0"/>
                <w:vertAlign w:val="baseline"/>
                <w:lang w:eastAsia="zh-CN"/>
              </w:rPr>
            </w:pPr>
            <w:r>
              <w:rPr>
                <w:rFonts w:hint="eastAsia" w:cs="Times New Roman"/>
                <w:b/>
                <w:bCs/>
                <w:sz w:val="21"/>
                <w:szCs w:val="21"/>
                <w:lang w:val="en-US" w:eastAsia="zh-CN"/>
              </w:rPr>
              <w:t>停牌</w:t>
            </w:r>
            <w:r>
              <w:rPr>
                <w:rFonts w:hint="default" w:ascii="Times New Roman" w:hAnsi="Times New Roman" w:eastAsia="宋体" w:cs="Times New Roman"/>
                <w:b/>
                <w:bCs/>
                <w:sz w:val="21"/>
                <w:szCs w:val="21"/>
              </w:rPr>
              <w:t>安排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-2日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11</w:t>
            </w:r>
            <w:r>
              <w:rPr>
                <w:rFonts w:hint="default" w:ascii="Times New Roman" w:hAnsi="Times New Roman" w:eastAsia="宋体" w:cs="Times New Roman"/>
                <w:sz w:val="21"/>
                <w:szCs w:val="21"/>
              </w:rPr>
              <w:t>日</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刊登配股说明书及摘要、配股发行公告、网上路演公告</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正常交易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-1日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14</w:t>
            </w:r>
            <w:r>
              <w:rPr>
                <w:rFonts w:hint="default" w:ascii="Times New Roman" w:hAnsi="Times New Roman" w:eastAsia="宋体" w:cs="Times New Roman"/>
                <w:sz w:val="21"/>
                <w:szCs w:val="21"/>
              </w:rPr>
              <w:t>日</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网上路演</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b w:val="0"/>
                <w:bCs w:val="0"/>
                <w:sz w:val="21"/>
                <w:szCs w:val="21"/>
                <w:vertAlign w:val="baseline"/>
                <w:lang w:eastAsia="zh-CN"/>
              </w:rPr>
            </w:pPr>
            <w:r>
              <w:rPr>
                <w:rFonts w:hint="eastAsia"/>
                <w:b w:val="0"/>
                <w:bCs w:val="0"/>
                <w:sz w:val="21"/>
                <w:szCs w:val="21"/>
                <w:vertAlign w:val="baseline"/>
                <w:lang w:val="en-US" w:eastAsia="zh-CN"/>
              </w:rPr>
              <w:t>正常交易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15</w:t>
            </w:r>
            <w:r>
              <w:rPr>
                <w:rFonts w:hint="default" w:ascii="Times New Roman" w:hAnsi="Times New Roman" w:eastAsia="宋体" w:cs="Times New Roman"/>
                <w:sz w:val="21"/>
                <w:szCs w:val="21"/>
              </w:rPr>
              <w:t>日</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配股股权登记日</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b w:val="0"/>
                <w:bCs w:val="0"/>
                <w:sz w:val="21"/>
                <w:szCs w:val="21"/>
                <w:vertAlign w:val="baseline"/>
                <w:lang w:eastAsia="zh-CN"/>
              </w:rPr>
            </w:pPr>
            <w:r>
              <w:rPr>
                <w:rFonts w:hint="eastAsia"/>
                <w:b w:val="0"/>
                <w:bCs w:val="0"/>
                <w:sz w:val="21"/>
                <w:szCs w:val="21"/>
                <w:vertAlign w:val="baseline"/>
                <w:lang w:val="en-US" w:eastAsia="zh-CN"/>
              </w:rPr>
              <w:t>正常交易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+1日至</w:t>
            </w: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+5日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default" w:ascii="Times New Roman" w:hAnsi="Times New Roman" w:eastAsia="宋体" w:cs="Times New Roman"/>
                <w:sz w:val="21"/>
                <w:szCs w:val="21"/>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16</w:t>
            </w:r>
            <w:r>
              <w:rPr>
                <w:rFonts w:hint="default" w:ascii="Times New Roman" w:hAnsi="Times New Roman" w:eastAsia="宋体" w:cs="Times New Roman"/>
                <w:sz w:val="21"/>
                <w:szCs w:val="21"/>
              </w:rPr>
              <w:t>日至</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22</w:t>
            </w:r>
            <w:r>
              <w:rPr>
                <w:rFonts w:hint="default" w:ascii="Times New Roman" w:hAnsi="Times New Roman" w:eastAsia="宋体" w:cs="Times New Roman"/>
                <w:sz w:val="21"/>
                <w:szCs w:val="21"/>
              </w:rPr>
              <w:t>日</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配股缴款</w:t>
            </w:r>
            <w:r>
              <w:rPr>
                <w:rFonts w:hint="eastAsia" w:cs="Times New Roman"/>
                <w:sz w:val="21"/>
                <w:szCs w:val="21"/>
                <w:lang w:val="en-US" w:eastAsia="zh-CN"/>
              </w:rPr>
              <w:t>起止日期、配股提示性公告（5次）</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全天停牌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+6日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23</w:t>
            </w:r>
            <w:r>
              <w:rPr>
                <w:rFonts w:hint="default" w:ascii="Times New Roman" w:hAnsi="Times New Roman" w:eastAsia="宋体" w:cs="Times New Roman"/>
                <w:sz w:val="21"/>
                <w:szCs w:val="21"/>
              </w:rPr>
              <w:t>日</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登记公司网上清算</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b w:val="0"/>
                <w:bCs w:val="0"/>
                <w:sz w:val="21"/>
                <w:szCs w:val="21"/>
                <w:vertAlign w:val="baseline"/>
                <w:lang w:eastAsia="zh-CN"/>
              </w:rPr>
            </w:pPr>
            <w:r>
              <w:rPr>
                <w:rFonts w:hint="eastAsia"/>
                <w:b w:val="0"/>
                <w:bCs w:val="0"/>
                <w:sz w:val="21"/>
                <w:szCs w:val="21"/>
                <w:vertAlign w:val="baseline"/>
                <w:lang w:val="en-US" w:eastAsia="zh-CN"/>
              </w:rPr>
              <w:t>全天停牌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+7日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24</w:t>
            </w:r>
            <w:r>
              <w:rPr>
                <w:rFonts w:hint="default" w:ascii="Times New Roman" w:hAnsi="Times New Roman" w:eastAsia="宋体" w:cs="Times New Roman"/>
                <w:sz w:val="21"/>
                <w:szCs w:val="21"/>
              </w:rPr>
              <w:t>日</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发行结果公告</w:t>
            </w:r>
            <w:r>
              <w:rPr>
                <w:rFonts w:hint="eastAsia" w:cs="Times New Roman"/>
                <w:sz w:val="21"/>
                <w:szCs w:val="21"/>
                <w:lang w:val="en-US" w:eastAsia="zh-CN"/>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发行成功的除权基准日或发行失败的恢复交易日及发行失败的退款日</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b w:val="0"/>
                <w:bCs w:val="0"/>
                <w:sz w:val="21"/>
                <w:szCs w:val="21"/>
                <w:vertAlign w:val="baseline"/>
                <w:lang w:eastAsia="zh-CN"/>
              </w:rPr>
            </w:pPr>
            <w:r>
              <w:rPr>
                <w:rFonts w:hint="eastAsia"/>
                <w:b w:val="0"/>
                <w:bCs w:val="0"/>
                <w:sz w:val="21"/>
                <w:szCs w:val="21"/>
                <w:vertAlign w:val="baseline"/>
                <w:lang w:val="en-US" w:eastAsia="zh-CN"/>
              </w:rPr>
              <w:t>正常交易</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eastAsia="宋体"/>
          <w:sz w:val="21"/>
          <w:szCs w:val="21"/>
          <w:lang w:eastAsia="zh-CN"/>
        </w:rPr>
      </w:pPr>
      <w:r>
        <w:rPr>
          <w:sz w:val="21"/>
          <w:szCs w:val="21"/>
        </w:rPr>
        <w:t>注1：以上</w:t>
      </w:r>
      <w:r>
        <w:rPr>
          <w:rFonts w:hint="eastAsia"/>
          <w:sz w:val="21"/>
          <w:szCs w:val="21"/>
          <w:lang w:val="en-US" w:eastAsia="zh-CN"/>
        </w:rPr>
        <w:t>日期</w:t>
      </w:r>
      <w:r>
        <w:rPr>
          <w:sz w:val="21"/>
          <w:szCs w:val="21"/>
        </w:rPr>
        <w:t>均为</w:t>
      </w:r>
      <w:r>
        <w:rPr>
          <w:rFonts w:hint="eastAsia"/>
          <w:sz w:val="21"/>
          <w:szCs w:val="21"/>
          <w:lang w:val="en-US" w:eastAsia="zh-CN"/>
        </w:rPr>
        <w:t>证券市场</w:t>
      </w:r>
      <w:r>
        <w:rPr>
          <w:sz w:val="21"/>
          <w:szCs w:val="21"/>
        </w:rPr>
        <w:t>交易日</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0" w:beforeLines="0" w:after="144" w:afterLines="50" w:line="240" w:lineRule="auto"/>
        <w:textAlignment w:val="auto"/>
        <w:rPr>
          <w:sz w:val="21"/>
          <w:szCs w:val="21"/>
        </w:rPr>
      </w:pPr>
      <w:r>
        <w:rPr>
          <w:sz w:val="21"/>
          <w:szCs w:val="21"/>
        </w:rPr>
        <w:t>注2：如遇重大突发事件影响本次发行，发行人和</w:t>
      </w:r>
      <w:r>
        <w:rPr>
          <w:rFonts w:hint="eastAsia"/>
          <w:sz w:val="21"/>
          <w:szCs w:val="21"/>
          <w:lang w:val="en-US" w:eastAsia="zh-CN"/>
        </w:rPr>
        <w:t>保荐机构（</w:t>
      </w:r>
      <w:r>
        <w:rPr>
          <w:sz w:val="21"/>
          <w:szCs w:val="21"/>
        </w:rPr>
        <w:t>主承销商</w:t>
      </w:r>
      <w:r>
        <w:rPr>
          <w:rFonts w:hint="eastAsia"/>
          <w:sz w:val="21"/>
          <w:szCs w:val="21"/>
          <w:lang w:eastAsia="zh-CN"/>
        </w:rPr>
        <w:t>）</w:t>
      </w:r>
      <w:r>
        <w:rPr>
          <w:sz w:val="21"/>
          <w:szCs w:val="21"/>
        </w:rPr>
        <w:t>将及时公告，修改本次发行日程。</w:t>
      </w:r>
    </w:p>
    <w:p>
      <w:pPr>
        <w:pStyle w:val="2"/>
        <w:keepNext/>
        <w:keepLines/>
        <w:pageBreakBefore w:val="0"/>
        <w:widowControl w:val="0"/>
        <w:kinsoku/>
        <w:wordWrap/>
        <w:overflowPunct/>
        <w:topLinePunct w:val="0"/>
        <w:autoSpaceDE/>
        <w:autoSpaceDN/>
        <w:bidi w:val="0"/>
        <w:adjustRightInd/>
        <w:snapToGrid/>
        <w:spacing w:before="287" w:beforeLines="100"/>
        <w:textAlignment w:val="auto"/>
      </w:pPr>
      <w:r>
        <w:t>二、本次配股的认购方法</w:t>
      </w:r>
    </w:p>
    <w:p>
      <w:pPr>
        <w:pStyle w:val="3"/>
        <w:bidi w:val="0"/>
        <w:rPr>
          <w:rFonts w:hint="default" w:eastAsia="宋体"/>
          <w:lang w:val="en-US" w:eastAsia="zh-CN"/>
        </w:rPr>
      </w:pPr>
      <w:bookmarkStart w:id="2" w:name="_Hlk28250694"/>
      <w:r>
        <w:rPr>
          <w:rFonts w:hint="eastAsia"/>
          <w:lang w:eastAsia="zh-CN"/>
        </w:rPr>
        <w:t>（</w:t>
      </w:r>
      <w:r>
        <w:rPr>
          <w:rFonts w:hint="eastAsia"/>
          <w:lang w:val="en-US" w:eastAsia="zh-CN"/>
        </w:rPr>
        <w:t>一</w:t>
      </w:r>
      <w:r>
        <w:rPr>
          <w:rFonts w:hint="eastAsia"/>
          <w:lang w:eastAsia="zh-CN"/>
        </w:rPr>
        <w:t>）</w:t>
      </w:r>
      <w:r>
        <w:rPr>
          <w:rFonts w:hint="eastAsia"/>
          <w:lang w:val="en-US" w:eastAsia="zh-CN"/>
        </w:rPr>
        <w:t>配股缴款时间</w:t>
      </w:r>
    </w:p>
    <w:p>
      <w:pPr>
        <w:bidi w:val="0"/>
      </w:pPr>
      <w:r>
        <w:rPr>
          <w:rFonts w:hint="eastAsia"/>
          <w:lang w:eastAsia="zh-CN"/>
        </w:rPr>
        <w:t>2022年2月16日（R+1日）</w:t>
      </w:r>
      <w:r>
        <w:t>起至</w:t>
      </w:r>
      <w:r>
        <w:rPr>
          <w:rFonts w:hint="eastAsia"/>
          <w:lang w:eastAsia="zh-CN"/>
        </w:rPr>
        <w:t>2022年2月22日（R+5日）</w:t>
      </w:r>
      <w:r>
        <w:t>的</w:t>
      </w:r>
      <w:r>
        <w:rPr>
          <w:rFonts w:hint="eastAsia"/>
          <w:lang w:eastAsia="zh-CN"/>
        </w:rPr>
        <w:t>深交所</w:t>
      </w:r>
      <w:r>
        <w:t>正常交易时间，逾期未缴款者视为自动放弃配股认购权。</w:t>
      </w:r>
    </w:p>
    <w:p>
      <w:pPr>
        <w:pStyle w:val="3"/>
        <w:bidi w:val="0"/>
        <w:rPr>
          <w:rFonts w:hint="default"/>
          <w:lang w:val="en-US" w:eastAsia="zh-CN"/>
        </w:rPr>
      </w:pPr>
      <w:r>
        <w:rPr>
          <w:rFonts w:hint="eastAsia"/>
          <w:lang w:eastAsia="zh-CN"/>
        </w:rPr>
        <w:t>（</w:t>
      </w:r>
      <w:r>
        <w:rPr>
          <w:rFonts w:hint="eastAsia"/>
          <w:lang w:val="en-US" w:eastAsia="zh-CN"/>
        </w:rPr>
        <w:t>二</w:t>
      </w:r>
      <w:r>
        <w:rPr>
          <w:rFonts w:hint="eastAsia"/>
          <w:lang w:eastAsia="zh-CN"/>
        </w:rPr>
        <w:t>）</w:t>
      </w:r>
      <w:r>
        <w:rPr>
          <w:rFonts w:hint="eastAsia"/>
          <w:lang w:val="en-US" w:eastAsia="zh-CN"/>
        </w:rPr>
        <w:t>配股缴款方法</w:t>
      </w:r>
    </w:p>
    <w:p>
      <w:pPr>
        <w:bidi w:val="0"/>
        <w:rPr>
          <w:rFonts w:hint="eastAsia"/>
          <w:lang w:eastAsia="zh-CN"/>
        </w:rPr>
      </w:pPr>
      <w:r>
        <w:rPr>
          <w:rFonts w:hint="eastAsia"/>
          <w:lang w:eastAsia="zh-CN"/>
        </w:rPr>
        <w:t>股东于</w:t>
      </w:r>
      <w:r>
        <w:rPr>
          <w:rFonts w:hint="eastAsia"/>
          <w:lang w:val="en-US" w:eastAsia="zh-CN"/>
        </w:rPr>
        <w:t>配股</w:t>
      </w:r>
      <w:r>
        <w:rPr>
          <w:rFonts w:hint="eastAsia"/>
          <w:lang w:eastAsia="zh-CN"/>
        </w:rPr>
        <w:t>缴款期内可通过网上委托、电话委托、营业部现场委托等方式，在股票</w:t>
      </w:r>
      <w:r>
        <w:rPr>
          <w:rFonts w:hint="eastAsia"/>
          <w:lang w:val="en-US" w:eastAsia="zh-CN"/>
        </w:rPr>
        <w:t>托管券商处</w:t>
      </w:r>
      <w:r>
        <w:rPr>
          <w:rFonts w:hint="eastAsia"/>
          <w:lang w:eastAsia="zh-CN"/>
        </w:rPr>
        <w:t>通过深交所交易系统办理配股缴款手续。配股代码为“080970”，配股简称</w:t>
      </w:r>
      <w:r>
        <w:rPr>
          <w:rFonts w:hint="eastAsia"/>
          <w:lang w:val="en-US" w:eastAsia="zh-CN"/>
        </w:rPr>
        <w:t>为</w:t>
      </w:r>
      <w:r>
        <w:rPr>
          <w:rFonts w:hint="eastAsia"/>
          <w:lang w:eastAsia="zh-CN"/>
        </w:rPr>
        <w:t>“</w:t>
      </w:r>
      <w:r>
        <w:rPr>
          <w:rFonts w:hint="eastAsia"/>
          <w:lang w:val="en-US" w:eastAsia="zh-CN"/>
        </w:rPr>
        <w:t>三环A1</w:t>
      </w:r>
      <w:r>
        <w:rPr>
          <w:rFonts w:hint="eastAsia"/>
          <w:lang w:eastAsia="zh-CN"/>
        </w:rPr>
        <w:t>配”，配股价格</w:t>
      </w:r>
      <w:r>
        <w:rPr>
          <w:rFonts w:hint="eastAsia"/>
          <w:lang w:val="en-US" w:eastAsia="zh-CN"/>
        </w:rPr>
        <w:t>为4.50</w:t>
      </w:r>
      <w:r>
        <w:rPr>
          <w:rFonts w:hint="eastAsia"/>
          <w:lang w:eastAsia="zh-CN"/>
        </w:rPr>
        <w:t>元/股。配股数量的限额为截</w:t>
      </w:r>
      <w:r>
        <w:rPr>
          <w:rFonts w:hint="eastAsia"/>
          <w:lang w:val="en-US" w:eastAsia="zh-CN"/>
        </w:rPr>
        <w:t>至</w:t>
      </w:r>
      <w:r>
        <w:rPr>
          <w:rFonts w:hint="eastAsia"/>
          <w:lang w:eastAsia="zh-CN"/>
        </w:rPr>
        <w:t>股权登记日持股数乘以配股比例（</w:t>
      </w:r>
      <w:r>
        <w:rPr>
          <w:rFonts w:hint="eastAsia"/>
          <w:lang w:val="en-US" w:eastAsia="zh-CN"/>
        </w:rPr>
        <w:t>0.15</w:t>
      </w:r>
      <w:r>
        <w:rPr>
          <w:rFonts w:hint="eastAsia"/>
          <w:lang w:eastAsia="zh-CN"/>
        </w:rPr>
        <w:t>）。</w:t>
      </w:r>
    </w:p>
    <w:p>
      <w:pPr>
        <w:bidi w:val="0"/>
        <w:rPr>
          <w:rFonts w:hint="eastAsia"/>
          <w:lang w:eastAsia="zh-CN"/>
        </w:rPr>
      </w:pPr>
      <w:r>
        <w:rPr>
          <w:rFonts w:hint="eastAsia"/>
          <w:lang w:val="en-US" w:eastAsia="zh-CN"/>
        </w:rPr>
        <w:t>发行人</w:t>
      </w:r>
      <w:r>
        <w:rPr>
          <w:rFonts w:hint="eastAsia"/>
          <w:lang w:eastAsia="zh-CN"/>
        </w:rPr>
        <w:t>为内地与香港股市互联互通标的公司，需通过内地与香港股票市场交易互联互通机制安排向香港投资者配股。内地与香港对于零碎股份的处理方式可能存在差异，特提请投资者注意。配售股份不足1股的，</w:t>
      </w:r>
      <w:r>
        <w:rPr>
          <w:rFonts w:hint="eastAsia"/>
          <w:lang w:val="en-US" w:eastAsia="zh-CN"/>
        </w:rPr>
        <w:t>按照</w:t>
      </w:r>
      <w:r>
        <w:rPr>
          <w:rFonts w:hint="eastAsia"/>
          <w:lang w:eastAsia="zh-CN"/>
        </w:rPr>
        <w:t>《中国结算深圳分公司证券发行人业务指南》的有关规定处理，配股过程中产生不足1份的零碎配股权证，按数量大小排序，数量小的循环进位给数量大的股东，以达到最小记账单位1份；香港投资者通过内地与香港互联互通持有发行人股份并参与本次配股的，对配售股份不足1股的部分，香港交易及结算所有限公司将根据中央结算系统有关规则的规定将该等零碎股份的数额调整至整数单位。</w:t>
      </w:r>
    </w:p>
    <w:p>
      <w:pPr>
        <w:bidi w:val="0"/>
        <w:rPr>
          <w:rFonts w:hint="eastAsia"/>
          <w:lang w:eastAsia="zh-CN"/>
        </w:rPr>
      </w:pPr>
      <w:r>
        <w:rPr>
          <w:rFonts w:hint="eastAsia"/>
          <w:lang w:eastAsia="zh-CN"/>
        </w:rPr>
        <w:t>在配股缴款期内，股东可多次申报，但申报的配股总数不得超过该股东可配股票数量限额。原股东所持股份托管在两个或两个以上营业部的，分别到相应营业部认购。</w:t>
      </w:r>
    </w:p>
    <w:p>
      <w:pPr>
        <w:pStyle w:val="3"/>
        <w:bidi w:val="0"/>
        <w:rPr>
          <w:rFonts w:hint="eastAsia"/>
          <w:lang w:eastAsia="zh-CN"/>
        </w:rPr>
      </w:pPr>
      <w:r>
        <w:rPr>
          <w:rFonts w:hint="eastAsia"/>
          <w:lang w:eastAsia="zh-CN"/>
        </w:rPr>
        <w:t>（</w:t>
      </w:r>
      <w:r>
        <w:rPr>
          <w:rFonts w:hint="eastAsia"/>
          <w:lang w:val="en-US" w:eastAsia="zh-CN"/>
        </w:rPr>
        <w:t>三</w:t>
      </w:r>
      <w:r>
        <w:rPr>
          <w:rFonts w:hint="eastAsia"/>
          <w:lang w:eastAsia="zh-CN"/>
        </w:rPr>
        <w:t>）</w:t>
      </w:r>
      <w:r>
        <w:rPr>
          <w:rFonts w:hint="eastAsia"/>
          <w:lang w:val="en-US" w:eastAsia="zh-CN"/>
        </w:rPr>
        <w:t>配股缴款地点</w:t>
      </w:r>
    </w:p>
    <w:p>
      <w:pPr>
        <w:bidi w:val="0"/>
        <w:rPr>
          <w:rFonts w:hint="eastAsia"/>
          <w:lang w:eastAsia="zh-CN"/>
        </w:rPr>
      </w:pPr>
      <w:r>
        <w:rPr>
          <w:rFonts w:hint="eastAsia"/>
          <w:lang w:eastAsia="zh-CN"/>
        </w:rPr>
        <w:t xml:space="preserve">股东于缴款期内凭本人身份证（或营业执照）、股东账户卡和资金账户卡在股票托管券商处通过深交所交易系统办理配股缴款手续，也可于缴款期内通过网上委托、电话委托等方式通过深交所交易系统办理配股缴款手续。投资者所持股份如托管在两个或两个以上营业部，分别到相应的营业部认购。 </w:t>
      </w:r>
    </w:p>
    <w:bookmarkEnd w:id="2"/>
    <w:p>
      <w:pPr>
        <w:pStyle w:val="2"/>
        <w:bidi w:val="0"/>
      </w:pPr>
      <w:r>
        <w:rPr>
          <w:rFonts w:hint="eastAsia"/>
          <w:lang w:val="en-US" w:eastAsia="zh-CN"/>
        </w:rPr>
        <w:t>三</w:t>
      </w:r>
      <w:r>
        <w:t>、发行人及</w:t>
      </w:r>
      <w:r>
        <w:rPr>
          <w:rFonts w:hint="eastAsia"/>
          <w:lang w:val="en-US" w:eastAsia="zh-CN"/>
        </w:rPr>
        <w:t>保荐机构（</w:t>
      </w:r>
      <w:r>
        <w:t>主承销商</w:t>
      </w:r>
      <w:r>
        <w:rPr>
          <w:rFonts w:hint="eastAsia"/>
          <w:lang w:eastAsia="zh-CN"/>
        </w:rPr>
        <w:t>）</w:t>
      </w:r>
    </w:p>
    <w:p>
      <w:pPr>
        <w:pStyle w:val="3"/>
        <w:bidi w:val="0"/>
        <w:rPr>
          <w:rFonts w:hint="eastAsia"/>
          <w:lang w:eastAsia="zh-CN"/>
        </w:rPr>
      </w:pPr>
      <w:bookmarkStart w:id="3" w:name="_Hlk28250711"/>
      <w:r>
        <w:rPr>
          <w:rFonts w:hint="eastAsia"/>
          <w:lang w:eastAsia="zh-CN"/>
        </w:rPr>
        <w:t>（</w:t>
      </w:r>
      <w:r>
        <w:rPr>
          <w:rFonts w:hint="eastAsia"/>
          <w:lang w:val="en-US" w:eastAsia="zh-CN"/>
        </w:rPr>
        <w:t>一</w:t>
      </w:r>
      <w:r>
        <w:rPr>
          <w:rFonts w:hint="eastAsia"/>
          <w:lang w:eastAsia="zh-CN"/>
        </w:rPr>
        <w:t>）</w:t>
      </w:r>
      <w:r>
        <w:t>发行人：</w:t>
      </w:r>
      <w:r>
        <w:rPr>
          <w:rFonts w:hint="eastAsia"/>
          <w:lang w:eastAsia="zh-CN"/>
        </w:rPr>
        <w:t>北京中科三环高技术股份有限公司</w:t>
      </w:r>
    </w:p>
    <w:p>
      <w:pPr>
        <w:bidi w:val="0"/>
        <w:rPr>
          <w:rFonts w:hint="default" w:eastAsia="宋体"/>
          <w:lang w:val="en-US" w:eastAsia="zh-CN"/>
        </w:rPr>
      </w:pPr>
      <w:r>
        <w:rPr>
          <w:rFonts w:hint="eastAsia"/>
          <w:lang w:val="en-US" w:eastAsia="zh-CN"/>
        </w:rPr>
        <w:t>法定代表人：王震西</w:t>
      </w:r>
    </w:p>
    <w:p>
      <w:pPr>
        <w:bidi w:val="0"/>
      </w:pPr>
      <w:r>
        <w:t>联系地址：北京市海淀区中关村东路66号甲1号楼27层</w:t>
      </w:r>
    </w:p>
    <w:p>
      <w:pPr>
        <w:bidi w:val="0"/>
      </w:pPr>
      <w:r>
        <w:t>联系人：赵寅鹏</w:t>
      </w:r>
      <w:r>
        <w:rPr>
          <w:rFonts w:hint="eastAsia"/>
        </w:rPr>
        <w:t>、田文斌</w:t>
      </w:r>
    </w:p>
    <w:p>
      <w:pPr>
        <w:bidi w:val="0"/>
      </w:pPr>
      <w:r>
        <w:t>联系电话：010-62656017</w:t>
      </w:r>
    </w:p>
    <w:p>
      <w:pPr>
        <w:pStyle w:val="3"/>
        <w:bidi w:val="0"/>
        <w:rPr>
          <w:rFonts w:hint="eastAsia"/>
          <w:lang w:eastAsia="zh-CN"/>
        </w:rPr>
      </w:pPr>
      <w:r>
        <w:rPr>
          <w:rFonts w:hint="eastAsia"/>
          <w:lang w:eastAsia="zh-CN"/>
        </w:rPr>
        <w:t>（</w:t>
      </w:r>
      <w:r>
        <w:rPr>
          <w:rFonts w:hint="eastAsia"/>
          <w:lang w:val="en-US" w:eastAsia="zh-CN"/>
        </w:rPr>
        <w:t>二</w:t>
      </w:r>
      <w:r>
        <w:rPr>
          <w:rFonts w:hint="eastAsia"/>
          <w:lang w:eastAsia="zh-CN"/>
        </w:rPr>
        <w:t>）</w:t>
      </w:r>
      <w:r>
        <w:t>保荐机构（主承销商）：</w:t>
      </w:r>
      <w:r>
        <w:rPr>
          <w:rFonts w:hint="eastAsia"/>
          <w:lang w:eastAsia="zh-CN"/>
        </w:rPr>
        <w:t>国金证券股份有限公司</w:t>
      </w:r>
    </w:p>
    <w:p>
      <w:pPr>
        <w:bidi w:val="0"/>
        <w:rPr>
          <w:rFonts w:hint="default"/>
          <w:lang w:val="en-US"/>
        </w:rPr>
      </w:pPr>
      <w:r>
        <w:rPr>
          <w:rFonts w:hint="eastAsia"/>
          <w:lang w:val="en-US" w:eastAsia="zh-CN"/>
        </w:rPr>
        <w:t>法定代表人：冉云</w:t>
      </w:r>
    </w:p>
    <w:p>
      <w:pPr>
        <w:bidi w:val="0"/>
        <w:rPr>
          <w:rFonts w:hint="default" w:eastAsia="宋体"/>
          <w:lang w:val="en-US" w:eastAsia="zh-CN"/>
        </w:rPr>
      </w:pPr>
      <w:r>
        <w:rPr>
          <w:rFonts w:hint="eastAsia"/>
        </w:rPr>
        <w:t>联系地址：</w:t>
      </w:r>
      <w:r>
        <w:rPr>
          <w:rFonts w:hint="eastAsia"/>
          <w:lang w:val="en-US" w:eastAsia="zh-CN"/>
        </w:rPr>
        <w:t>上海市浦东新区芳甸路1088号紫竹国际大厦13层</w:t>
      </w:r>
    </w:p>
    <w:p>
      <w:pPr>
        <w:bidi w:val="0"/>
      </w:pPr>
      <w:r>
        <w:t>联系人：</w:t>
      </w:r>
      <w:r>
        <w:rPr>
          <w:rFonts w:hint="eastAsia"/>
        </w:rPr>
        <w:t>资本市场部</w:t>
      </w:r>
    </w:p>
    <w:p>
      <w:pPr>
        <w:bidi w:val="0"/>
        <w:rPr>
          <w:rFonts w:hint="default" w:eastAsia="宋体"/>
          <w:lang w:val="en-US" w:eastAsia="zh-CN"/>
        </w:rPr>
      </w:pPr>
      <w:r>
        <w:t>联系电话：0</w:t>
      </w:r>
      <w:r>
        <w:rPr>
          <w:rFonts w:hint="eastAsia"/>
          <w:lang w:val="en-US" w:eastAsia="zh-CN"/>
        </w:rPr>
        <w:t>21</w:t>
      </w:r>
      <w:r>
        <w:t>-</w:t>
      </w:r>
      <w:r>
        <w:rPr>
          <w:rFonts w:hint="eastAsia"/>
          <w:lang w:val="en-US" w:eastAsia="zh-CN"/>
        </w:rPr>
        <w:t>68826138、021-68826809</w:t>
      </w:r>
    </w:p>
    <w:bookmarkEnd w:id="3"/>
    <w:p>
      <w:pPr>
        <w:bidi w:val="0"/>
        <w:ind w:left="0" w:leftChars="0" w:firstLine="0" w:firstLineChars="0"/>
        <w:jc w:val="right"/>
        <w:rPr>
          <w:rFonts w:hint="eastAsia"/>
          <w:lang w:eastAsia="zh-CN"/>
        </w:rPr>
      </w:pPr>
      <w:bookmarkStart w:id="4" w:name="_Hlk28248666"/>
      <w:r>
        <w:t>发行人：</w:t>
      </w:r>
      <w:r>
        <w:rPr>
          <w:rFonts w:hint="eastAsia"/>
          <w:lang w:eastAsia="zh-CN"/>
        </w:rPr>
        <w:t>北京中科三环高技术股份有限公司</w:t>
      </w:r>
    </w:p>
    <w:p>
      <w:pPr>
        <w:bidi w:val="0"/>
        <w:jc w:val="right"/>
        <w:rPr>
          <w:rFonts w:hint="eastAsia"/>
          <w:lang w:eastAsia="zh-CN"/>
        </w:rPr>
      </w:pPr>
      <w:r>
        <w:t>保荐机构（主承销商）：</w:t>
      </w:r>
      <w:r>
        <w:rPr>
          <w:rFonts w:hint="eastAsia"/>
          <w:lang w:eastAsia="zh-CN"/>
        </w:rPr>
        <w:t>国金证券股份有限公司</w:t>
      </w:r>
    </w:p>
    <w:p>
      <w:pPr>
        <w:bidi w:val="0"/>
        <w:jc w:val="right"/>
        <w:rPr>
          <w:rFonts w:ascii="Times New Roman" w:hAnsi="Times New Roman" w:cs="Arial"/>
          <w:kern w:val="0"/>
          <w:sz w:val="24"/>
          <w:szCs w:val="24"/>
        </w:rPr>
      </w:pPr>
      <w:r>
        <w:rPr>
          <w:rFonts w:hint="eastAsia"/>
          <w:lang w:val="en-US" w:eastAsia="zh-CN"/>
        </w:rPr>
        <w:t>2022</w:t>
      </w:r>
      <w:r>
        <w:t>年</w:t>
      </w:r>
      <w:r>
        <w:rPr>
          <w:rFonts w:hint="eastAsia"/>
          <w:lang w:val="en-US" w:eastAsia="zh-CN"/>
        </w:rPr>
        <w:t>2</w:t>
      </w:r>
      <w:r>
        <w:t>月</w:t>
      </w:r>
      <w:r>
        <w:rPr>
          <w:rFonts w:hint="eastAsia"/>
          <w:lang w:val="en-US" w:eastAsia="zh-CN"/>
        </w:rPr>
        <w:t>18</w:t>
      </w:r>
      <w:r>
        <w:t>日</w:t>
      </w:r>
    </w:p>
    <w:p>
      <w:pPr>
        <w:pStyle w:val="16"/>
        <w:spacing w:line="360" w:lineRule="auto"/>
        <w:ind w:firstLine="3120" w:firstLineChars="1300"/>
        <w:jc w:val="right"/>
        <w:rPr>
          <w:rFonts w:cs="Arial"/>
          <w:color w:val="auto"/>
        </w:rPr>
        <w:sectPr>
          <w:footerReference r:id="rId3" w:type="default"/>
          <w:pgSz w:w="11906" w:h="16838"/>
          <w:pgMar w:top="1440" w:right="1797" w:bottom="1440" w:left="1797" w:header="720" w:footer="720" w:gutter="0"/>
          <w:pgBorders>
            <w:top w:val="none" w:sz="0" w:space="0"/>
            <w:left w:val="none" w:sz="0" w:space="0"/>
            <w:bottom w:val="none" w:sz="0" w:space="0"/>
            <w:right w:val="none" w:sz="0" w:space="0"/>
          </w:pgBorders>
          <w:cols w:space="720" w:num="1"/>
          <w:docGrid w:linePitch="286" w:charSpace="0"/>
        </w:sectPr>
      </w:pPr>
    </w:p>
    <w:bookmarkEnd w:id="4"/>
    <w:p>
      <w:pPr>
        <w:pStyle w:val="16"/>
        <w:spacing w:before="156" w:beforeLines="50" w:after="156" w:afterLines="50" w:line="360" w:lineRule="auto"/>
        <w:rPr>
          <w:rFonts w:cs="Arial"/>
          <w:color w:val="auto"/>
        </w:rPr>
      </w:pPr>
      <w:bookmarkStart w:id="5" w:name="_Hlk28250781"/>
      <w:r>
        <w:drawing>
          <wp:anchor distT="0" distB="0" distL="114300" distR="114300" simplePos="0" relativeHeight="251659264" behindDoc="0" locked="0" layoutInCell="1" allowOverlap="1">
            <wp:simplePos x="0" y="0"/>
            <wp:positionH relativeFrom="column">
              <wp:posOffset>-1171575</wp:posOffset>
            </wp:positionH>
            <wp:positionV relativeFrom="paragraph">
              <wp:posOffset>-908050</wp:posOffset>
            </wp:positionV>
            <wp:extent cx="7670800" cy="10843260"/>
            <wp:effectExtent l="0" t="0" r="0"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7670800" cy="10843260"/>
                    </a:xfrm>
                    <a:prstGeom prst="rect">
                      <a:avLst/>
                    </a:prstGeom>
                    <a:noFill/>
                    <a:ln>
                      <a:noFill/>
                    </a:ln>
                  </pic:spPr>
                </pic:pic>
              </a:graphicData>
            </a:graphic>
          </wp:anchor>
        </w:drawing>
      </w:r>
      <w:r>
        <w:rPr>
          <w:rFonts w:cs="Arial"/>
        </w:rPr>
        <w:t>（此页无正文，为《</w:t>
      </w:r>
      <w:r>
        <w:rPr>
          <w:rFonts w:hint="eastAsia" w:cs="Arial"/>
          <w:lang w:eastAsia="zh-CN"/>
        </w:rPr>
        <w:t>北京中科三环高技术股份有限公司配股提示性公告</w:t>
      </w:r>
      <w:r>
        <w:rPr>
          <w:rFonts w:cs="Arial"/>
        </w:rPr>
        <w:t>》之盖章页）</w:t>
      </w:r>
    </w:p>
    <w:p>
      <w:pPr>
        <w:spacing w:before="156" w:beforeLines="50" w:after="156" w:afterLines="50" w:line="360" w:lineRule="auto"/>
        <w:rPr>
          <w:rFonts w:ascii="Times New Roman" w:hAnsi="Times New Roman" w:cs="Arial"/>
          <w:color w:val="000000"/>
          <w:kern w:val="0"/>
          <w:sz w:val="24"/>
          <w:szCs w:val="24"/>
        </w:rPr>
      </w:pPr>
    </w:p>
    <w:p>
      <w:pPr>
        <w:pStyle w:val="16"/>
        <w:spacing w:before="156" w:beforeLines="50" w:after="156" w:afterLines="50" w:line="360" w:lineRule="auto"/>
        <w:ind w:right="720"/>
        <w:jc w:val="right"/>
        <w:rPr>
          <w:rFonts w:cs="Arial"/>
        </w:rPr>
      </w:pPr>
    </w:p>
    <w:p>
      <w:pPr>
        <w:pStyle w:val="16"/>
        <w:spacing w:before="156" w:beforeLines="50" w:after="156" w:afterLines="50" w:line="360" w:lineRule="auto"/>
        <w:ind w:right="720"/>
        <w:jc w:val="right"/>
        <w:rPr>
          <w:rFonts w:cs="Arial"/>
        </w:rPr>
      </w:pPr>
    </w:p>
    <w:p>
      <w:pPr>
        <w:pStyle w:val="16"/>
        <w:spacing w:before="156" w:beforeLines="50" w:after="156" w:afterLines="50" w:line="360" w:lineRule="auto"/>
        <w:ind w:right="720"/>
        <w:jc w:val="right"/>
        <w:rPr>
          <w:rFonts w:cs="Arial"/>
        </w:rPr>
      </w:pPr>
    </w:p>
    <w:p>
      <w:pPr>
        <w:pStyle w:val="16"/>
        <w:spacing w:before="156" w:beforeLines="50" w:after="156" w:afterLines="50" w:line="360" w:lineRule="auto"/>
        <w:ind w:right="720"/>
        <w:jc w:val="right"/>
        <w:rPr>
          <w:rFonts w:cs="Arial"/>
        </w:rPr>
      </w:pPr>
    </w:p>
    <w:p>
      <w:pPr>
        <w:pStyle w:val="16"/>
        <w:spacing w:before="156" w:beforeLines="50" w:after="156" w:afterLines="50" w:line="360" w:lineRule="auto"/>
        <w:ind w:right="720"/>
        <w:jc w:val="right"/>
        <w:rPr>
          <w:rFonts w:cs="Arial"/>
        </w:rPr>
      </w:pPr>
    </w:p>
    <w:p>
      <w:pPr>
        <w:pStyle w:val="16"/>
        <w:spacing w:before="156" w:beforeLines="50" w:after="156" w:afterLines="50" w:line="360" w:lineRule="auto"/>
        <w:ind w:right="720"/>
        <w:jc w:val="right"/>
        <w:rPr>
          <w:rFonts w:cs="Arial"/>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jc w:val="right"/>
        <w:rPr>
          <w:rFonts w:hint="eastAsia" w:ascii="Times New Roman" w:hAnsi="Times New Roman" w:cs="Arial"/>
          <w:kern w:val="0"/>
          <w:sz w:val="24"/>
          <w:szCs w:val="24"/>
          <w:lang w:eastAsia="zh-CN"/>
        </w:rPr>
      </w:pPr>
      <w:bookmarkStart w:id="6" w:name="_Hlk28248741"/>
      <w:r>
        <w:rPr>
          <w:rFonts w:hint="eastAsia" w:ascii="Times New Roman" w:hAnsi="Times New Roman" w:cs="Arial"/>
          <w:kern w:val="0"/>
          <w:sz w:val="24"/>
          <w:szCs w:val="24"/>
          <w:lang w:eastAsia="zh-CN"/>
        </w:rPr>
        <w:t>北京中科三环高技术股份有限公司</w:t>
      </w:r>
    </w:p>
    <w:p>
      <w:pPr>
        <w:spacing w:before="156" w:beforeLines="50" w:after="156" w:afterLines="50" w:line="360" w:lineRule="auto"/>
        <w:jc w:val="right"/>
        <w:rPr>
          <w:rFonts w:hint="eastAsia" w:ascii="Times New Roman" w:hAnsi="Times New Roman" w:cs="Arial"/>
          <w:kern w:val="0"/>
          <w:sz w:val="24"/>
          <w:szCs w:val="24"/>
          <w:lang w:eastAsia="zh-CN"/>
        </w:rPr>
      </w:pPr>
    </w:p>
    <w:p>
      <w:pPr>
        <w:jc w:val="right"/>
        <w:rPr>
          <w:rFonts w:ascii="Times New Roman" w:hAnsi="Times New Roman" w:cs="Arial"/>
          <w:color w:val="000000"/>
          <w:kern w:val="0"/>
          <w:sz w:val="24"/>
          <w:szCs w:val="24"/>
        </w:rPr>
      </w:pPr>
      <w:r>
        <w:rPr>
          <w:rFonts w:ascii="Times New Roman" w:hAnsi="Times New Roman" w:cs="Arial"/>
          <w:color w:val="000000"/>
          <w:kern w:val="0"/>
          <w:sz w:val="24"/>
          <w:szCs w:val="24"/>
        </w:rPr>
        <w:t xml:space="preserve">年   </w:t>
      </w:r>
      <w:r>
        <w:rPr>
          <w:rFonts w:hint="eastAsia" w:cs="Arial"/>
          <w:color w:val="000000"/>
          <w:kern w:val="0"/>
          <w:sz w:val="24"/>
          <w:szCs w:val="24"/>
          <w:lang w:val="en-US" w:eastAsia="zh-CN"/>
        </w:rPr>
        <w:t xml:space="preserve">  </w:t>
      </w:r>
      <w:r>
        <w:rPr>
          <w:rFonts w:ascii="Times New Roman" w:hAnsi="Times New Roman" w:cs="Arial"/>
          <w:color w:val="000000"/>
          <w:kern w:val="0"/>
          <w:sz w:val="24"/>
          <w:szCs w:val="24"/>
        </w:rPr>
        <w:t xml:space="preserve"> 月 </w:t>
      </w:r>
      <w:r>
        <w:rPr>
          <w:rFonts w:hint="eastAsia" w:cs="Arial"/>
          <w:color w:val="000000"/>
          <w:kern w:val="0"/>
          <w:sz w:val="24"/>
          <w:szCs w:val="24"/>
          <w:lang w:val="en-US" w:eastAsia="zh-CN"/>
        </w:rPr>
        <w:t xml:space="preserve">  </w:t>
      </w:r>
      <w:r>
        <w:rPr>
          <w:rFonts w:ascii="Times New Roman" w:hAnsi="Times New Roman" w:cs="Arial"/>
          <w:color w:val="000000"/>
          <w:kern w:val="0"/>
          <w:sz w:val="24"/>
          <w:szCs w:val="24"/>
        </w:rPr>
        <w:t xml:space="preserve">   日</w:t>
      </w:r>
    </w:p>
    <w:p>
      <w:pPr>
        <w:ind w:right="960"/>
        <w:rPr>
          <w:rFonts w:ascii="Times New Roman" w:hAnsi="Times New Roman" w:cs="Arial"/>
          <w:color w:val="000000"/>
          <w:kern w:val="0"/>
          <w:sz w:val="24"/>
          <w:szCs w:val="24"/>
        </w:rPr>
      </w:pPr>
      <w:r>
        <w:rPr>
          <w:rFonts w:ascii="Times New Roman" w:hAnsi="Times New Roman" w:cs="Arial"/>
          <w:color w:val="000000"/>
          <w:kern w:val="0"/>
          <w:sz w:val="24"/>
          <w:szCs w:val="24"/>
        </w:rPr>
        <w:br w:type="page"/>
      </w:r>
      <w:bookmarkEnd w:id="5"/>
      <w:bookmarkEnd w:id="6"/>
    </w:p>
    <w:p>
      <w:pPr>
        <w:spacing w:before="156" w:beforeLines="50" w:after="156" w:afterLines="50" w:line="360" w:lineRule="auto"/>
        <w:ind w:left="0" w:leftChars="0" w:firstLine="0" w:firstLineChars="0"/>
        <w:rPr>
          <w:rFonts w:ascii="Times New Roman" w:hAnsi="Times New Roman" w:cs="Arial"/>
          <w:color w:val="000000"/>
          <w:kern w:val="0"/>
          <w:sz w:val="24"/>
          <w:szCs w:val="24"/>
        </w:rPr>
      </w:pPr>
      <w:bookmarkStart w:id="7" w:name="_GoBack"/>
      <w:r>
        <w:drawing>
          <wp:anchor distT="0" distB="0" distL="114300" distR="114300" simplePos="0" relativeHeight="251660288" behindDoc="0" locked="0" layoutInCell="1" allowOverlap="1">
            <wp:simplePos x="0" y="0"/>
            <wp:positionH relativeFrom="column">
              <wp:posOffset>-1198880</wp:posOffset>
            </wp:positionH>
            <wp:positionV relativeFrom="paragraph">
              <wp:posOffset>-923290</wp:posOffset>
            </wp:positionV>
            <wp:extent cx="7663815" cy="10833735"/>
            <wp:effectExtent l="0" t="0" r="6985" b="1206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7663815" cy="10833735"/>
                    </a:xfrm>
                    <a:prstGeom prst="rect">
                      <a:avLst/>
                    </a:prstGeom>
                    <a:noFill/>
                    <a:ln>
                      <a:noFill/>
                    </a:ln>
                  </pic:spPr>
                </pic:pic>
              </a:graphicData>
            </a:graphic>
          </wp:anchor>
        </w:drawing>
      </w:r>
      <w:bookmarkEnd w:id="7"/>
      <w:r>
        <w:rPr>
          <w:rFonts w:ascii="Times New Roman" w:hAnsi="Times New Roman" w:cs="Arial"/>
          <w:color w:val="000000"/>
          <w:kern w:val="0"/>
          <w:sz w:val="24"/>
          <w:szCs w:val="24"/>
        </w:rPr>
        <w:t>（此页无正文，为</w:t>
      </w:r>
      <w:r>
        <w:rPr>
          <w:rFonts w:ascii="Times New Roman" w:hAnsi="Times New Roman" w:cs="Arial"/>
          <w:sz w:val="24"/>
          <w:szCs w:val="24"/>
        </w:rPr>
        <w:t>《</w:t>
      </w:r>
      <w:r>
        <w:rPr>
          <w:rFonts w:hint="eastAsia" w:cs="Arial"/>
          <w:lang w:eastAsia="zh-CN"/>
        </w:rPr>
        <w:t>北京中科三环高技术股份有限公司配股提示性公告</w:t>
      </w:r>
      <w:r>
        <w:rPr>
          <w:rFonts w:ascii="Times New Roman" w:hAnsi="Times New Roman" w:cs="Arial"/>
          <w:sz w:val="24"/>
          <w:szCs w:val="24"/>
        </w:rPr>
        <w:t>》之</w:t>
      </w:r>
      <w:r>
        <w:rPr>
          <w:rFonts w:ascii="Times New Roman" w:hAnsi="Times New Roman" w:cs="Arial"/>
          <w:color w:val="000000"/>
          <w:kern w:val="0"/>
          <w:sz w:val="24"/>
          <w:szCs w:val="24"/>
        </w:rPr>
        <w:t>盖章页）</w:t>
      </w: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ind w:left="0" w:leftChars="0" w:firstLine="0" w:firstLineChars="0"/>
        <w:rPr>
          <w:rFonts w:ascii="Times New Roman" w:hAnsi="Times New Roman" w:cs="Arial"/>
          <w:color w:val="000000"/>
          <w:kern w:val="0"/>
          <w:sz w:val="24"/>
          <w:szCs w:val="24"/>
        </w:rPr>
      </w:pPr>
    </w:p>
    <w:p>
      <w:pPr>
        <w:spacing w:before="156" w:beforeLines="50" w:after="156" w:afterLines="50" w:line="360" w:lineRule="auto"/>
        <w:jc w:val="right"/>
        <w:rPr>
          <w:rFonts w:hint="eastAsia" w:ascii="Times New Roman" w:hAnsi="Times New Roman" w:cs="Arial"/>
          <w:color w:val="000000"/>
          <w:kern w:val="0"/>
          <w:sz w:val="24"/>
          <w:szCs w:val="24"/>
          <w:lang w:eastAsia="zh-CN"/>
        </w:rPr>
      </w:pPr>
      <w:r>
        <w:rPr>
          <w:rFonts w:hint="eastAsia" w:ascii="Times New Roman" w:hAnsi="Times New Roman" w:cs="Arial"/>
          <w:color w:val="000000"/>
          <w:kern w:val="0"/>
          <w:sz w:val="24"/>
          <w:szCs w:val="24"/>
          <w:lang w:eastAsia="zh-CN"/>
        </w:rPr>
        <w:t>国金证券股份有限公司</w:t>
      </w:r>
    </w:p>
    <w:p>
      <w:pPr>
        <w:spacing w:before="156" w:beforeLines="50" w:after="156" w:afterLines="50" w:line="360" w:lineRule="auto"/>
        <w:jc w:val="right"/>
        <w:rPr>
          <w:rFonts w:hint="eastAsia" w:ascii="Times New Roman" w:hAnsi="Times New Roman" w:cs="Arial"/>
          <w:color w:val="000000"/>
          <w:kern w:val="0"/>
          <w:sz w:val="24"/>
          <w:szCs w:val="24"/>
          <w:lang w:eastAsia="zh-CN"/>
        </w:rPr>
      </w:pPr>
    </w:p>
    <w:p>
      <w:pPr>
        <w:wordWrap w:val="0"/>
        <w:spacing w:before="156" w:beforeLines="50" w:after="156" w:afterLines="50" w:line="360" w:lineRule="auto"/>
        <w:jc w:val="right"/>
        <w:rPr>
          <w:rFonts w:ascii="Times New Roman" w:hAnsi="Times New Roman" w:cs="Arial"/>
          <w:color w:val="000000"/>
          <w:kern w:val="0"/>
          <w:sz w:val="24"/>
          <w:szCs w:val="24"/>
        </w:rPr>
      </w:pPr>
      <w:r>
        <w:rPr>
          <w:rFonts w:hint="eastAsia" w:cs="Arial"/>
          <w:color w:val="000000"/>
          <w:kern w:val="0"/>
          <w:sz w:val="24"/>
          <w:szCs w:val="24"/>
          <w:lang w:val="en-US" w:eastAsia="zh-CN"/>
        </w:rPr>
        <w:t xml:space="preserve">  </w:t>
      </w:r>
      <w:r>
        <w:rPr>
          <w:rFonts w:ascii="Times New Roman" w:hAnsi="Times New Roman" w:cs="Arial"/>
          <w:color w:val="000000"/>
          <w:kern w:val="0"/>
          <w:sz w:val="24"/>
          <w:szCs w:val="24"/>
        </w:rPr>
        <w:t xml:space="preserve">年  </w:t>
      </w:r>
      <w:r>
        <w:rPr>
          <w:rFonts w:hint="eastAsia" w:cs="Arial"/>
          <w:color w:val="000000"/>
          <w:kern w:val="0"/>
          <w:sz w:val="24"/>
          <w:szCs w:val="24"/>
          <w:lang w:val="en-US" w:eastAsia="zh-CN"/>
        </w:rPr>
        <w:t xml:space="preserve"> </w:t>
      </w:r>
      <w:r>
        <w:rPr>
          <w:rFonts w:ascii="Times New Roman" w:hAnsi="Times New Roman" w:cs="Arial"/>
          <w:color w:val="000000"/>
          <w:kern w:val="0"/>
          <w:sz w:val="24"/>
          <w:szCs w:val="24"/>
        </w:rPr>
        <w:t xml:space="preserve">  月  </w:t>
      </w:r>
      <w:r>
        <w:rPr>
          <w:rFonts w:hint="eastAsia" w:cs="Arial"/>
          <w:color w:val="000000"/>
          <w:kern w:val="0"/>
          <w:sz w:val="24"/>
          <w:szCs w:val="24"/>
          <w:lang w:val="en-US" w:eastAsia="zh-CN"/>
        </w:rPr>
        <w:t xml:space="preserve">  </w:t>
      </w:r>
      <w:r>
        <w:rPr>
          <w:rFonts w:ascii="Times New Roman" w:hAnsi="Times New Roman" w:cs="Arial"/>
          <w:color w:val="000000"/>
          <w:kern w:val="0"/>
          <w:sz w:val="24"/>
          <w:szCs w:val="24"/>
        </w:rPr>
        <w:t xml:space="preserve"> 日</w:t>
      </w:r>
    </w:p>
    <w:p>
      <w:pPr>
        <w:widowControl/>
        <w:jc w:val="left"/>
        <w:rPr>
          <w:rFonts w:ascii="Times New Roman" w:hAnsi="Times New Roman" w:cs="Arial"/>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9945252"/>
      <w:docPartObj>
        <w:docPartGallery w:val="autotext"/>
      </w:docPartObj>
    </w:sdtPr>
    <w:sdtContent>
      <w:p>
        <w:pPr>
          <w:pStyle w:val="6"/>
          <w:jc w:val="center"/>
        </w:pPr>
        <w:r>
          <w:fldChar w:fldCharType="begin"/>
        </w:r>
        <w:r>
          <w:instrText xml:space="preserve">PAGE   \* MERGEFORMAT</w:instrText>
        </w:r>
        <w:r>
          <w:fldChar w:fldCharType="separate"/>
        </w:r>
        <w:r>
          <w:rPr>
            <w:lang w:val="zh-CN"/>
          </w:rPr>
          <w:t>6</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yMzEwMzI1Mbc0MjA1MDVW0lEKTi0uzszPAykwqgUAfGtFwSwAAAA="/>
  </w:docVars>
  <w:rsids>
    <w:rsidRoot w:val="00172A27"/>
    <w:rsid w:val="00001814"/>
    <w:rsid w:val="00031BFF"/>
    <w:rsid w:val="000447B9"/>
    <w:rsid w:val="000C44CA"/>
    <w:rsid w:val="000C57CE"/>
    <w:rsid w:val="000D5AB5"/>
    <w:rsid w:val="000E3F26"/>
    <w:rsid w:val="00100EA9"/>
    <w:rsid w:val="00114AA8"/>
    <w:rsid w:val="001578AE"/>
    <w:rsid w:val="00163042"/>
    <w:rsid w:val="001A4A4B"/>
    <w:rsid w:val="001A6C41"/>
    <w:rsid w:val="001B0C9D"/>
    <w:rsid w:val="001E764B"/>
    <w:rsid w:val="001F318A"/>
    <w:rsid w:val="001F79D2"/>
    <w:rsid w:val="00204BD3"/>
    <w:rsid w:val="00206C8F"/>
    <w:rsid w:val="0021573D"/>
    <w:rsid w:val="0022415C"/>
    <w:rsid w:val="0026467B"/>
    <w:rsid w:val="002A650C"/>
    <w:rsid w:val="002A7E67"/>
    <w:rsid w:val="002D7022"/>
    <w:rsid w:val="00303256"/>
    <w:rsid w:val="00306469"/>
    <w:rsid w:val="003327B4"/>
    <w:rsid w:val="00337E97"/>
    <w:rsid w:val="003649F7"/>
    <w:rsid w:val="003846DB"/>
    <w:rsid w:val="003916A2"/>
    <w:rsid w:val="003E69A0"/>
    <w:rsid w:val="00430066"/>
    <w:rsid w:val="00465934"/>
    <w:rsid w:val="004701DD"/>
    <w:rsid w:val="0048091D"/>
    <w:rsid w:val="00494AF2"/>
    <w:rsid w:val="004E146B"/>
    <w:rsid w:val="00507415"/>
    <w:rsid w:val="00521EB1"/>
    <w:rsid w:val="0053430F"/>
    <w:rsid w:val="005475AA"/>
    <w:rsid w:val="00563817"/>
    <w:rsid w:val="005638E5"/>
    <w:rsid w:val="00573020"/>
    <w:rsid w:val="005B216D"/>
    <w:rsid w:val="005D0613"/>
    <w:rsid w:val="005E198E"/>
    <w:rsid w:val="005F2EA0"/>
    <w:rsid w:val="0062023A"/>
    <w:rsid w:val="00626102"/>
    <w:rsid w:val="00635D2C"/>
    <w:rsid w:val="0064709E"/>
    <w:rsid w:val="00650C23"/>
    <w:rsid w:val="00660C8C"/>
    <w:rsid w:val="006625CC"/>
    <w:rsid w:val="00694B14"/>
    <w:rsid w:val="006C467C"/>
    <w:rsid w:val="006D5B89"/>
    <w:rsid w:val="006E566F"/>
    <w:rsid w:val="006F5D07"/>
    <w:rsid w:val="007013A9"/>
    <w:rsid w:val="0070647A"/>
    <w:rsid w:val="007224CA"/>
    <w:rsid w:val="00723E35"/>
    <w:rsid w:val="007442F1"/>
    <w:rsid w:val="0076487D"/>
    <w:rsid w:val="007717E6"/>
    <w:rsid w:val="007B37EB"/>
    <w:rsid w:val="007C2D0D"/>
    <w:rsid w:val="007D169A"/>
    <w:rsid w:val="007F0CE7"/>
    <w:rsid w:val="007F60A8"/>
    <w:rsid w:val="00807222"/>
    <w:rsid w:val="008074C6"/>
    <w:rsid w:val="00841CC4"/>
    <w:rsid w:val="00853AAD"/>
    <w:rsid w:val="00855D34"/>
    <w:rsid w:val="00861E94"/>
    <w:rsid w:val="00876A79"/>
    <w:rsid w:val="00882500"/>
    <w:rsid w:val="00885134"/>
    <w:rsid w:val="0088715B"/>
    <w:rsid w:val="008A2B24"/>
    <w:rsid w:val="008B2B5D"/>
    <w:rsid w:val="008B5A74"/>
    <w:rsid w:val="008E3DC3"/>
    <w:rsid w:val="008F031B"/>
    <w:rsid w:val="008F096D"/>
    <w:rsid w:val="00907AF5"/>
    <w:rsid w:val="009360D9"/>
    <w:rsid w:val="00957E89"/>
    <w:rsid w:val="00961345"/>
    <w:rsid w:val="00970F24"/>
    <w:rsid w:val="00997CCB"/>
    <w:rsid w:val="009B3902"/>
    <w:rsid w:val="009B41D3"/>
    <w:rsid w:val="009C42BF"/>
    <w:rsid w:val="009C622C"/>
    <w:rsid w:val="009F57A7"/>
    <w:rsid w:val="00A145DB"/>
    <w:rsid w:val="00A20355"/>
    <w:rsid w:val="00A221E7"/>
    <w:rsid w:val="00A375A8"/>
    <w:rsid w:val="00A46848"/>
    <w:rsid w:val="00A77E9D"/>
    <w:rsid w:val="00A85E97"/>
    <w:rsid w:val="00AA2802"/>
    <w:rsid w:val="00AD34F9"/>
    <w:rsid w:val="00AE0295"/>
    <w:rsid w:val="00AE262F"/>
    <w:rsid w:val="00BB7B5A"/>
    <w:rsid w:val="00BC65EC"/>
    <w:rsid w:val="00BC6CF4"/>
    <w:rsid w:val="00BD479A"/>
    <w:rsid w:val="00C02D2E"/>
    <w:rsid w:val="00C16DCD"/>
    <w:rsid w:val="00C17C50"/>
    <w:rsid w:val="00C369C6"/>
    <w:rsid w:val="00C50E2D"/>
    <w:rsid w:val="00CA0A91"/>
    <w:rsid w:val="00CC2AC6"/>
    <w:rsid w:val="00CC2FE2"/>
    <w:rsid w:val="00CC67D3"/>
    <w:rsid w:val="00CD79B7"/>
    <w:rsid w:val="00CF7382"/>
    <w:rsid w:val="00D0596F"/>
    <w:rsid w:val="00D25425"/>
    <w:rsid w:val="00D26003"/>
    <w:rsid w:val="00D3467A"/>
    <w:rsid w:val="00D352B2"/>
    <w:rsid w:val="00D94A0A"/>
    <w:rsid w:val="00DA5ABA"/>
    <w:rsid w:val="00DD4961"/>
    <w:rsid w:val="00E04CD7"/>
    <w:rsid w:val="00E61441"/>
    <w:rsid w:val="00E82620"/>
    <w:rsid w:val="00E85AD6"/>
    <w:rsid w:val="00E97F70"/>
    <w:rsid w:val="00EE5623"/>
    <w:rsid w:val="00EF1FBF"/>
    <w:rsid w:val="00F0418A"/>
    <w:rsid w:val="00F14802"/>
    <w:rsid w:val="00F3478C"/>
    <w:rsid w:val="00F440F8"/>
    <w:rsid w:val="00F61E79"/>
    <w:rsid w:val="00FB035E"/>
    <w:rsid w:val="00FC788E"/>
    <w:rsid w:val="00FE4223"/>
    <w:rsid w:val="06E74708"/>
    <w:rsid w:val="0B0D2A21"/>
    <w:rsid w:val="0B436CFD"/>
    <w:rsid w:val="0C1F0CD1"/>
    <w:rsid w:val="0E3E1276"/>
    <w:rsid w:val="11440EC7"/>
    <w:rsid w:val="1183682A"/>
    <w:rsid w:val="16084DDA"/>
    <w:rsid w:val="17D2382E"/>
    <w:rsid w:val="19B65134"/>
    <w:rsid w:val="34BC41E6"/>
    <w:rsid w:val="351B4B16"/>
    <w:rsid w:val="37B84CD3"/>
    <w:rsid w:val="451A635D"/>
    <w:rsid w:val="48E70DC3"/>
    <w:rsid w:val="4AA717B9"/>
    <w:rsid w:val="574E44F4"/>
    <w:rsid w:val="5BF61BDB"/>
    <w:rsid w:val="5CDB2634"/>
    <w:rsid w:val="5D3F0336"/>
    <w:rsid w:val="5D6D44FD"/>
    <w:rsid w:val="5D843038"/>
    <w:rsid w:val="61CE0959"/>
    <w:rsid w:val="6AEF5A93"/>
    <w:rsid w:val="6DB51CC7"/>
    <w:rsid w:val="6F146CBD"/>
    <w:rsid w:val="73885F0E"/>
    <w:rsid w:val="768673D9"/>
    <w:rsid w:val="77D33F55"/>
    <w:rsid w:val="78991CB3"/>
    <w:rsid w:val="7C5B594D"/>
    <w:rsid w:val="7CEB1BD6"/>
    <w:rsid w:val="7E7E5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after="50" w:afterLines="50"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9"/>
    <w:pPr>
      <w:keepNext/>
      <w:keepLines/>
      <w:spacing w:beforeLines="50" w:afterLines="50" w:line="360" w:lineRule="auto"/>
      <w:ind w:firstLine="0" w:firstLineChars="0"/>
      <w:outlineLvl w:val="0"/>
    </w:pPr>
    <w:rPr>
      <w:rFonts w:eastAsia="黑体" w:cs="Times New Roman"/>
      <w:b/>
      <w:bCs/>
      <w:kern w:val="44"/>
      <w:sz w:val="28"/>
      <w:szCs w:val="44"/>
    </w:rPr>
  </w:style>
  <w:style w:type="paragraph" w:styleId="3">
    <w:name w:val="heading 2"/>
    <w:basedOn w:val="1"/>
    <w:next w:val="1"/>
    <w:unhideWhenUsed/>
    <w:qFormat/>
    <w:uiPriority w:val="9"/>
    <w:pPr>
      <w:keepNext/>
      <w:keepLines/>
      <w:widowControl w:val="0"/>
      <w:spacing w:before="260" w:after="260" w:line="360" w:lineRule="auto"/>
      <w:jc w:val="both"/>
      <w:outlineLvl w:val="1"/>
    </w:pPr>
    <w:rPr>
      <w:rFonts w:ascii="Times New Roman" w:hAnsi="Times New Roman"/>
      <w:b/>
      <w:bCs/>
      <w:szCs w:val="24"/>
    </w:rPr>
  </w:style>
  <w:style w:type="paragraph" w:styleId="4">
    <w:name w:val="heading 5"/>
    <w:basedOn w:val="1"/>
    <w:next w:val="1"/>
    <w:link w:val="18"/>
    <w:qFormat/>
    <w:uiPriority w:val="9"/>
    <w:pPr>
      <w:widowControl/>
      <w:spacing w:before="100" w:beforeAutospacing="1" w:after="100" w:afterAutospacing="1"/>
      <w:jc w:val="left"/>
      <w:outlineLvl w:val="4"/>
    </w:pPr>
    <w:rPr>
      <w:rFonts w:ascii="宋体" w:hAnsi="宋体" w:cs="宋体"/>
      <w:b/>
      <w:bCs/>
      <w:kern w:val="0"/>
      <w:sz w:val="20"/>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basedOn w:val="11"/>
    <w:unhideWhenUsed/>
    <w:qFormat/>
    <w:uiPriority w:val="99"/>
    <w:rPr>
      <w:color w:val="0000FF" w:themeColor="hyperlink"/>
      <w:u w:val="single"/>
    </w:rPr>
  </w:style>
  <w:style w:type="character" w:customStyle="1" w:styleId="13">
    <w:name w:val="页脚 字符"/>
    <w:link w:val="6"/>
    <w:qFormat/>
    <w:uiPriority w:val="99"/>
    <w:rPr>
      <w:sz w:val="18"/>
      <w:szCs w:val="18"/>
    </w:rPr>
  </w:style>
  <w:style w:type="character" w:customStyle="1" w:styleId="14">
    <w:name w:val="页脚 Char"/>
    <w:basedOn w:val="11"/>
    <w:semiHidden/>
    <w:qFormat/>
    <w:uiPriority w:val="99"/>
    <w:rPr>
      <w:rFonts w:ascii="Calibri" w:hAnsi="Calibri" w:eastAsia="宋体" w:cs="Times New Roman"/>
      <w:sz w:val="18"/>
      <w:szCs w:val="18"/>
    </w:rPr>
  </w:style>
  <w:style w:type="paragraph" w:customStyle="1" w:styleId="15">
    <w:name w:val="康美4"/>
    <w:basedOn w:val="1"/>
    <w:qFormat/>
    <w:uiPriority w:val="0"/>
    <w:pPr>
      <w:adjustRightInd w:val="0"/>
      <w:spacing w:beforeLines="50" w:afterLines="50" w:line="360" w:lineRule="auto"/>
      <w:ind w:firstLine="480" w:firstLineChars="200"/>
      <w:textAlignment w:val="baseline"/>
    </w:pPr>
    <w:rPr>
      <w:rFonts w:ascii="Times New Roman" w:hAnsi="Times New Roman"/>
      <w:sz w:val="24"/>
      <w:szCs w:val="24"/>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7">
    <w:name w:val="页眉 字符"/>
    <w:basedOn w:val="11"/>
    <w:link w:val="7"/>
    <w:qFormat/>
    <w:uiPriority w:val="99"/>
    <w:rPr>
      <w:rFonts w:ascii="Calibri" w:hAnsi="Calibri" w:eastAsia="宋体" w:cs="Times New Roman"/>
      <w:sz w:val="18"/>
      <w:szCs w:val="18"/>
    </w:rPr>
  </w:style>
  <w:style w:type="character" w:customStyle="1" w:styleId="18">
    <w:name w:val="标题 5 字符"/>
    <w:basedOn w:val="11"/>
    <w:link w:val="4"/>
    <w:qFormat/>
    <w:uiPriority w:val="9"/>
    <w:rPr>
      <w:rFonts w:ascii="宋体" w:hAnsi="宋体" w:eastAsia="宋体" w:cs="宋体"/>
      <w:b/>
      <w:bCs/>
      <w:kern w:val="0"/>
      <w:sz w:val="20"/>
      <w:szCs w:val="20"/>
    </w:rPr>
  </w:style>
  <w:style w:type="paragraph" w:customStyle="1" w:styleId="19">
    <w:name w:val="009单位"/>
    <w:basedOn w:val="20"/>
    <w:qFormat/>
    <w:uiPriority w:val="0"/>
    <w:pPr>
      <w:keepNext/>
      <w:spacing w:line="240" w:lineRule="auto"/>
      <w:ind w:firstLine="0" w:firstLineChars="0"/>
      <w:jc w:val="right"/>
    </w:pPr>
    <w:rPr>
      <w:sz w:val="18"/>
    </w:rPr>
  </w:style>
  <w:style w:type="paragraph" w:customStyle="1" w:styleId="20">
    <w:name w:val="005正文"/>
    <w:basedOn w:val="1"/>
    <w:qFormat/>
    <w:uiPriority w:val="0"/>
    <w:pPr>
      <w:adjustRightInd w:val="0"/>
      <w:snapToGrid w:val="0"/>
      <w:spacing w:line="360" w:lineRule="auto"/>
      <w:ind w:firstLine="200" w:firstLineChars="200"/>
    </w:pPr>
    <w:rPr>
      <w:rFonts w:ascii="Arial" w:hAnsi="Arial"/>
      <w:sz w:val="24"/>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00FF37-B1CA-4F72-9611-EAEC016FD917}">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Pages>
  <Words>673</Words>
  <Characters>3839</Characters>
  <Lines>31</Lines>
  <Paragraphs>9</Paragraphs>
  <TotalTime>26</TotalTime>
  <ScaleCrop>false</ScaleCrop>
  <LinksUpToDate>false</LinksUpToDate>
  <CharactersWithSpaces>4503</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2020-11-04T03:12:00Z</dcterms:created>
  <dc:creator>高修远</dc:creator>
  <cp:lastModifiedBy>张思佳</cp:lastModifiedBy>
  <dcterms:modified xsi:type="dcterms:W3CDTF">2022-02-15T08:46:08Z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